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b/>
          <w:bCs/>
          <w:sz w:val="32"/>
          <w:szCs w:val="32"/>
          <w:lang w:val="en-US" w:eastAsia="zh-CN"/>
        </w:rPr>
      </w:pPr>
      <w:r>
        <w:rPr>
          <w:rFonts w:hint="eastAsia"/>
          <w:b/>
          <w:bCs/>
          <w:sz w:val="32"/>
          <w:szCs w:val="32"/>
          <w:lang w:val="en-US" w:eastAsia="zh-CN"/>
        </w:rPr>
        <w:t>调查结果</w:t>
      </w:r>
    </w:p>
    <w:p>
      <w:pPr>
        <w:spacing w:line="360" w:lineRule="auto"/>
        <w:ind w:firstLine="480" w:firstLineChars="200"/>
        <w:rPr>
          <w:rFonts w:hint="eastAsia" w:ascii="宋体" w:hAnsi="宋体"/>
          <w:sz w:val="24"/>
          <w:szCs w:val="24"/>
        </w:rPr>
      </w:pPr>
      <w:r>
        <w:rPr>
          <w:sz w:val="24"/>
          <w:szCs w:val="24"/>
        </w:rPr>
        <w:t>本次问卷发</w:t>
      </w:r>
      <w:r>
        <w:rPr>
          <w:rFonts w:ascii="宋体" w:hAnsi="宋体"/>
          <w:sz w:val="24"/>
          <w:szCs w:val="24"/>
        </w:rPr>
        <w:t>放时间为</w:t>
      </w:r>
      <w:r>
        <w:rPr>
          <w:rFonts w:hint="eastAsia" w:ascii="宋体" w:hAnsi="宋体"/>
          <w:sz w:val="24"/>
          <w:szCs w:val="24"/>
        </w:rPr>
        <w:t>2018年1月6号-2018年1月11号。</w:t>
      </w:r>
    </w:p>
    <w:p>
      <w:pPr>
        <w:spacing w:line="360" w:lineRule="auto"/>
        <w:ind w:firstLine="480" w:firstLineChars="200"/>
        <w:rPr>
          <w:rFonts w:hint="eastAsia" w:ascii="宋体" w:hAnsi="宋体"/>
          <w:sz w:val="24"/>
          <w:szCs w:val="24"/>
        </w:rPr>
      </w:pPr>
      <w:r>
        <w:rPr>
          <w:rFonts w:hint="eastAsia" w:ascii="宋体" w:hAnsi="宋体"/>
          <w:sz w:val="24"/>
          <w:szCs w:val="24"/>
        </w:rPr>
        <w:t>本次共发放</w:t>
      </w:r>
      <w:r>
        <w:rPr>
          <w:rFonts w:hint="eastAsia" w:ascii="宋体" w:hAnsi="宋体"/>
          <w:sz w:val="24"/>
          <w:szCs w:val="24"/>
          <w:lang w:val="en-US" w:eastAsia="zh-CN"/>
        </w:rPr>
        <w:t>103</w:t>
      </w:r>
      <w:r>
        <w:rPr>
          <w:rFonts w:hint="eastAsia" w:ascii="宋体" w:hAnsi="宋体"/>
          <w:sz w:val="24"/>
          <w:szCs w:val="24"/>
        </w:rPr>
        <w:t>份网上问卷，有效问卷103份</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（1）103份有效问卷中，男生问卷35份，女生问卷68份，具体问卷情况如下表所示</w:t>
      </w:r>
    </w:p>
    <w:tbl>
      <w:tblPr>
        <w:tblStyle w:val="6"/>
        <w:tblW w:w="0" w:type="auto"/>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10"/>
        <w:gridCol w:w="1977"/>
        <w:gridCol w:w="1953"/>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6" w:hRule="atLeast"/>
        </w:trPr>
        <w:tc>
          <w:tcPr>
            <w:tcW w:w="7000" w:type="dxa"/>
            <w:gridSpan w:val="4"/>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问卷情况表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6" w:hRule="atLeast"/>
        </w:trPr>
        <w:tc>
          <w:tcPr>
            <w:tcW w:w="151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年级</w:t>
            </w:r>
          </w:p>
        </w:tc>
        <w:tc>
          <w:tcPr>
            <w:tcW w:w="1977"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男生有效问卷数</w:t>
            </w:r>
          </w:p>
        </w:tc>
        <w:tc>
          <w:tcPr>
            <w:tcW w:w="195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女生有效问卷数</w:t>
            </w:r>
          </w:p>
        </w:tc>
        <w:tc>
          <w:tcPr>
            <w:tcW w:w="156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各年级占比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6" w:hRule="atLeast"/>
        </w:trPr>
        <w:tc>
          <w:tcPr>
            <w:tcW w:w="151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2020级</w:t>
            </w:r>
          </w:p>
        </w:tc>
        <w:tc>
          <w:tcPr>
            <w:tcW w:w="1977"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w:t>
            </w:r>
          </w:p>
        </w:tc>
        <w:tc>
          <w:tcPr>
            <w:tcW w:w="195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7</w:t>
            </w:r>
          </w:p>
        </w:tc>
        <w:tc>
          <w:tcPr>
            <w:tcW w:w="156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6" w:hRule="atLeast"/>
        </w:trPr>
        <w:tc>
          <w:tcPr>
            <w:tcW w:w="151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2019级</w:t>
            </w:r>
          </w:p>
        </w:tc>
        <w:tc>
          <w:tcPr>
            <w:tcW w:w="1977"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26</w:t>
            </w:r>
          </w:p>
        </w:tc>
        <w:tc>
          <w:tcPr>
            <w:tcW w:w="195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57</w:t>
            </w:r>
          </w:p>
        </w:tc>
        <w:tc>
          <w:tcPr>
            <w:tcW w:w="156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6" w:hRule="atLeast"/>
        </w:trPr>
        <w:tc>
          <w:tcPr>
            <w:tcW w:w="151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2018级</w:t>
            </w:r>
          </w:p>
        </w:tc>
        <w:tc>
          <w:tcPr>
            <w:tcW w:w="1977"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w:t>
            </w:r>
          </w:p>
        </w:tc>
        <w:tc>
          <w:tcPr>
            <w:tcW w:w="195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w:t>
            </w:r>
          </w:p>
        </w:tc>
        <w:tc>
          <w:tcPr>
            <w:tcW w:w="156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6" w:hRule="atLeast"/>
        </w:trPr>
        <w:tc>
          <w:tcPr>
            <w:tcW w:w="151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2017级</w:t>
            </w:r>
          </w:p>
        </w:tc>
        <w:tc>
          <w:tcPr>
            <w:tcW w:w="1977"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w:t>
            </w:r>
          </w:p>
        </w:tc>
        <w:tc>
          <w:tcPr>
            <w:tcW w:w="195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c>
          <w:tcPr>
            <w:tcW w:w="156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8" w:hRule="atLeast"/>
        </w:trPr>
        <w:tc>
          <w:tcPr>
            <w:tcW w:w="151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男女生比例</w:t>
            </w:r>
          </w:p>
        </w:tc>
        <w:tc>
          <w:tcPr>
            <w:tcW w:w="1977"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34%</w:t>
            </w:r>
          </w:p>
        </w:tc>
        <w:tc>
          <w:tcPr>
            <w:tcW w:w="195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66%</w:t>
            </w:r>
          </w:p>
        </w:tc>
        <w:tc>
          <w:tcPr>
            <w:tcW w:w="1560" w:type="dxa"/>
          </w:tcPr>
          <w:p>
            <w:pPr>
              <w:spacing w:line="360" w:lineRule="auto"/>
              <w:jc w:val="center"/>
              <w:rPr>
                <w:rFonts w:hint="default" w:ascii="宋体" w:hAnsi="宋体"/>
                <w:sz w:val="24"/>
                <w:szCs w:val="24"/>
                <w:vertAlign w:val="baseline"/>
                <w:lang w:val="en-US" w:eastAsia="zh-CN"/>
              </w:rPr>
            </w:pPr>
          </w:p>
        </w:tc>
      </w:tr>
    </w:tbl>
    <w:p>
      <w:pPr>
        <w:spacing w:line="360" w:lineRule="auto"/>
        <w:rPr>
          <w:rFonts w:hint="eastAsia" w:ascii="宋体" w:hAnsi="宋体"/>
          <w:sz w:val="24"/>
          <w:szCs w:val="24"/>
          <w:lang w:val="en-US" w:eastAsia="zh-CN"/>
        </w:rPr>
      </w:pPr>
      <w:r>
        <w:rPr>
          <w:rFonts w:hint="eastAsia" w:ascii="宋体" w:hAnsi="宋体"/>
          <w:sz w:val="24"/>
          <w:szCs w:val="24"/>
          <w:lang w:val="en-US" w:eastAsia="zh-CN"/>
        </w:rPr>
        <w:t>（2）103份问卷中，受调查者专业为哲学的有1人，经济学18人，法学2人，教育学2人，文学5人，理学12人，工学22人，农学1人，医学9人，管理学30人，其他1人，具体情况如下表所示</w:t>
      </w:r>
    </w:p>
    <w:tbl>
      <w:tblPr>
        <w:tblStyle w:val="6"/>
        <w:tblpPr w:leftFromText="180" w:rightFromText="180" w:vertAnchor="text" w:horzAnchor="page" w:tblpX="1267" w:tblpY="48"/>
        <w:tblOverlap w:val="never"/>
        <w:tblW w:w="9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
        <w:gridCol w:w="723"/>
        <w:gridCol w:w="972"/>
        <w:gridCol w:w="732"/>
        <w:gridCol w:w="984"/>
        <w:gridCol w:w="732"/>
        <w:gridCol w:w="744"/>
        <w:gridCol w:w="720"/>
        <w:gridCol w:w="708"/>
        <w:gridCol w:w="744"/>
        <w:gridCol w:w="936"/>
        <w:gridCol w:w="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904" w:type="dxa"/>
          </w:tcPr>
          <w:p>
            <w:pPr>
              <w:spacing w:line="360" w:lineRule="auto"/>
              <w:jc w:val="center"/>
              <w:rPr>
                <w:rFonts w:hint="default" w:ascii="宋体" w:hAnsi="宋体"/>
                <w:sz w:val="24"/>
                <w:szCs w:val="24"/>
                <w:vertAlign w:val="baseline"/>
                <w:lang w:val="en-US" w:eastAsia="zh-CN"/>
              </w:rPr>
            </w:pPr>
          </w:p>
        </w:tc>
        <w:tc>
          <w:tcPr>
            <w:tcW w:w="72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哲学</w:t>
            </w:r>
          </w:p>
        </w:tc>
        <w:tc>
          <w:tcPr>
            <w:tcW w:w="97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经济学</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法学</w:t>
            </w:r>
          </w:p>
        </w:tc>
        <w:tc>
          <w:tcPr>
            <w:tcW w:w="98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教育学</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文学</w:t>
            </w:r>
          </w:p>
        </w:tc>
        <w:tc>
          <w:tcPr>
            <w:tcW w:w="74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理学</w:t>
            </w:r>
          </w:p>
        </w:tc>
        <w:tc>
          <w:tcPr>
            <w:tcW w:w="72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工学</w:t>
            </w:r>
          </w:p>
        </w:tc>
        <w:tc>
          <w:tcPr>
            <w:tcW w:w="708"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农学</w:t>
            </w:r>
          </w:p>
        </w:tc>
        <w:tc>
          <w:tcPr>
            <w:tcW w:w="74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医学</w:t>
            </w:r>
          </w:p>
        </w:tc>
        <w:tc>
          <w:tcPr>
            <w:tcW w:w="936"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管理学</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9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人数</w:t>
            </w:r>
          </w:p>
        </w:tc>
        <w:tc>
          <w:tcPr>
            <w:tcW w:w="72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c>
          <w:tcPr>
            <w:tcW w:w="97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18</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w:t>
            </w:r>
          </w:p>
        </w:tc>
        <w:tc>
          <w:tcPr>
            <w:tcW w:w="98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5</w:t>
            </w:r>
          </w:p>
        </w:tc>
        <w:tc>
          <w:tcPr>
            <w:tcW w:w="74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12</w:t>
            </w:r>
          </w:p>
        </w:tc>
        <w:tc>
          <w:tcPr>
            <w:tcW w:w="72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22</w:t>
            </w:r>
          </w:p>
        </w:tc>
        <w:tc>
          <w:tcPr>
            <w:tcW w:w="708"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c>
          <w:tcPr>
            <w:tcW w:w="74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9</w:t>
            </w:r>
          </w:p>
        </w:tc>
        <w:tc>
          <w:tcPr>
            <w:tcW w:w="936"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30</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9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占比(%)</w:t>
            </w:r>
          </w:p>
        </w:tc>
        <w:tc>
          <w:tcPr>
            <w:tcW w:w="723"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c>
          <w:tcPr>
            <w:tcW w:w="97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17.5</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1.9</w:t>
            </w:r>
          </w:p>
        </w:tc>
        <w:tc>
          <w:tcPr>
            <w:tcW w:w="98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1.9</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4.9</w:t>
            </w:r>
          </w:p>
        </w:tc>
        <w:tc>
          <w:tcPr>
            <w:tcW w:w="74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11.7</w:t>
            </w:r>
          </w:p>
        </w:tc>
        <w:tc>
          <w:tcPr>
            <w:tcW w:w="720"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21.4</w:t>
            </w:r>
          </w:p>
        </w:tc>
        <w:tc>
          <w:tcPr>
            <w:tcW w:w="708"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c>
          <w:tcPr>
            <w:tcW w:w="74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8.7</w:t>
            </w:r>
          </w:p>
        </w:tc>
        <w:tc>
          <w:tcPr>
            <w:tcW w:w="936"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29.1</w:t>
            </w:r>
          </w:p>
        </w:tc>
        <w:tc>
          <w:tcPr>
            <w:tcW w:w="732"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w:t>
            </w:r>
          </w:p>
        </w:tc>
      </w:tr>
    </w:tbl>
    <w:p>
      <w:pPr>
        <w:spacing w:line="360" w:lineRule="auto"/>
        <w:rPr>
          <w:rFonts w:hint="default" w:ascii="宋体" w:hAnsi="宋体"/>
          <w:sz w:val="24"/>
          <w:szCs w:val="24"/>
          <w:lang w:val="en-US" w:eastAsia="zh-CN"/>
        </w:rPr>
      </w:pPr>
    </w:p>
    <w:p>
      <w:pPr>
        <w:spacing w:line="360" w:lineRule="auto"/>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5269865" cy="1819275"/>
            <wp:effectExtent l="0" t="0" r="3175" b="9525"/>
            <wp:docPr id="1" name="图片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pic:cNvPicPr>
                      <a:picLocks noChangeAspect="1"/>
                    </pic:cNvPicPr>
                  </pic:nvPicPr>
                  <pic:blipFill>
                    <a:blip r:embed="rId4"/>
                    <a:stretch>
                      <a:fillRect/>
                    </a:stretch>
                  </pic:blipFill>
                  <pic:spPr>
                    <a:xfrm>
                      <a:off x="0" y="0"/>
                      <a:ext cx="5269865" cy="1819275"/>
                    </a:xfrm>
                    <a:prstGeom prst="rect">
                      <a:avLst/>
                    </a:prstGeom>
                  </pic:spPr>
                </pic:pic>
              </a:graphicData>
            </a:graphic>
          </wp:inline>
        </w:drawing>
      </w:r>
    </w:p>
    <w:p>
      <w:pPr>
        <w:spacing w:line="360" w:lineRule="auto"/>
        <w:rPr>
          <w:rFonts w:hint="eastAsia" w:ascii="宋体" w:hAnsi="宋体"/>
          <w:sz w:val="24"/>
          <w:szCs w:val="24"/>
          <w:lang w:val="en-US" w:eastAsia="zh-CN"/>
        </w:rPr>
      </w:pPr>
      <w:r>
        <w:rPr>
          <w:rFonts w:hint="eastAsia" w:ascii="宋体" w:hAnsi="宋体"/>
          <w:sz w:val="24"/>
          <w:szCs w:val="24"/>
          <w:lang w:val="en-US" w:eastAsia="zh-CN"/>
        </w:rPr>
        <w:t>（3）103份问卷中，受调查者所在高校为211及以上高校的有70人，本科一批高校24人，本科二批7人，其他学校2人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spacing w:line="360" w:lineRule="auto"/>
              <w:jc w:val="center"/>
              <w:rPr>
                <w:rFonts w:hint="default" w:ascii="宋体" w:hAnsi="宋体"/>
                <w:sz w:val="24"/>
                <w:szCs w:val="24"/>
                <w:vertAlign w:val="baseline"/>
                <w:lang w:val="en-US" w:eastAsia="zh-CN"/>
              </w:rPr>
            </w:pPr>
          </w:p>
        </w:tc>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211及以上</w:t>
            </w:r>
          </w:p>
        </w:tc>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本科一批</w:t>
            </w:r>
          </w:p>
        </w:tc>
        <w:tc>
          <w:tcPr>
            <w:tcW w:w="1705"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本科二批</w:t>
            </w:r>
          </w:p>
        </w:tc>
        <w:tc>
          <w:tcPr>
            <w:tcW w:w="1705"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人数</w:t>
            </w:r>
          </w:p>
        </w:tc>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70</w:t>
            </w:r>
          </w:p>
        </w:tc>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1705"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7</w:t>
            </w:r>
          </w:p>
        </w:tc>
        <w:tc>
          <w:tcPr>
            <w:tcW w:w="1705"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占比（%）</w:t>
            </w:r>
          </w:p>
        </w:tc>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68</w:t>
            </w:r>
          </w:p>
        </w:tc>
        <w:tc>
          <w:tcPr>
            <w:tcW w:w="1704"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23.3</w:t>
            </w:r>
          </w:p>
        </w:tc>
        <w:tc>
          <w:tcPr>
            <w:tcW w:w="1705"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6.8</w:t>
            </w:r>
          </w:p>
        </w:tc>
        <w:tc>
          <w:tcPr>
            <w:tcW w:w="1705" w:type="dxa"/>
          </w:tcPr>
          <w:p>
            <w:pPr>
              <w:spacing w:line="360" w:lineRule="auto"/>
              <w:jc w:val="center"/>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1.9</w:t>
            </w:r>
          </w:p>
        </w:tc>
      </w:tr>
    </w:tbl>
    <w:p>
      <w:pPr>
        <w:numPr>
          <w:ilvl w:val="0"/>
          <w:numId w:val="1"/>
        </w:numPr>
        <w:spacing w:line="360" w:lineRule="auto"/>
        <w:rPr>
          <w:rFonts w:hint="default"/>
          <w:b/>
          <w:bCs/>
          <w:sz w:val="32"/>
          <w:szCs w:val="32"/>
          <w:lang w:val="en-US" w:eastAsia="zh-CN"/>
        </w:rPr>
      </w:pPr>
      <w:r>
        <w:rPr>
          <w:rFonts w:hint="eastAsia"/>
          <w:b/>
          <w:bCs/>
          <w:sz w:val="32"/>
          <w:szCs w:val="32"/>
          <w:lang w:val="en-US" w:eastAsia="zh-CN"/>
        </w:rPr>
        <w:t>大学生留学宏观环境分析</w:t>
      </w:r>
    </w:p>
    <w:p>
      <w:pPr>
        <w:numPr>
          <w:numId w:val="0"/>
        </w:numPr>
        <w:spacing w:line="360" w:lineRule="auto"/>
        <w:rPr>
          <w:rFonts w:hint="eastAsia"/>
          <w:b/>
          <w:bCs/>
          <w:sz w:val="30"/>
          <w:szCs w:val="30"/>
          <w:lang w:val="en-US" w:eastAsia="zh-CN"/>
        </w:rPr>
      </w:pPr>
      <w:r>
        <w:rPr>
          <w:rFonts w:hint="eastAsia"/>
          <w:b/>
          <w:bCs/>
          <w:sz w:val="30"/>
          <w:szCs w:val="30"/>
          <w:lang w:val="en-US" w:eastAsia="zh-CN"/>
        </w:rPr>
        <w:t>6.1政治环境</w:t>
      </w:r>
    </w:p>
    <w:p>
      <w:pPr>
        <w:numPr>
          <w:numId w:val="0"/>
        </w:numPr>
        <w:spacing w:line="360" w:lineRule="auto"/>
        <w:ind w:firstLine="480"/>
        <w:rPr>
          <w:rFonts w:hint="default"/>
          <w:sz w:val="24"/>
          <w:szCs w:val="24"/>
          <w:lang w:val="en-US" w:eastAsia="zh-CN"/>
        </w:rPr>
      </w:pPr>
      <w:r>
        <w:rPr>
          <w:rFonts w:hint="eastAsia"/>
          <w:sz w:val="24"/>
          <w:szCs w:val="24"/>
          <w:lang w:val="en-US" w:eastAsia="zh-CN"/>
        </w:rPr>
        <w:t>大学留学生作为高端人才，中国各省市对留学后获得相应学历并归国的人有丰厚的人才引进政策：优先获得工作城市户籍，这当中以各省会城市的政策较为详细；可申请住房补贴，作为海外留学归国人员，在申请住房补贴时有一定优势；创业资助，可在特定城市申请减免税以及资金资助；购车优惠，可在归国一年内申请购买限定车型的免税车。这些政策提高了留学生归国意愿，也间接提升了出国留学的意愿。</w:t>
      </w:r>
    </w:p>
    <w:p>
      <w:pPr>
        <w:numPr>
          <w:numId w:val="0"/>
        </w:numPr>
        <w:spacing w:line="360" w:lineRule="auto"/>
        <w:ind w:firstLine="480"/>
        <w:rPr>
          <w:rFonts w:hint="eastAsia"/>
          <w:sz w:val="24"/>
          <w:szCs w:val="24"/>
          <w:lang w:val="en-US" w:eastAsia="zh-CN"/>
        </w:rPr>
      </w:pPr>
      <w:r>
        <w:rPr>
          <w:rFonts w:hint="eastAsia"/>
          <w:sz w:val="24"/>
          <w:szCs w:val="24"/>
          <w:lang w:val="en-US" w:eastAsia="zh-CN"/>
        </w:rPr>
        <w:t>中国进几年与几个主要的发达国家间有较稳定的关系，在国际政治中地位稳定，使中国留学生前往他国时更容易获得签证，并且在他国不易遭遇歧视等问题，这使得大学生出国留学更加方便。但近两年中国与美国间的贸易战等政治摩擦使中美关系较差，而美国作为一个主要的中国留学生接收国限制了一些留学生的入境，这降低了一些大学生留学的意愿。</w:t>
      </w:r>
    </w:p>
    <w:p>
      <w:pPr>
        <w:numPr>
          <w:numId w:val="0"/>
        </w:numPr>
        <w:spacing w:line="360" w:lineRule="auto"/>
        <w:ind w:firstLine="480"/>
        <w:rPr>
          <w:rFonts w:hint="default"/>
          <w:sz w:val="24"/>
          <w:szCs w:val="24"/>
          <w:lang w:val="en-US" w:eastAsia="zh-CN"/>
        </w:rPr>
      </w:pPr>
      <w:r>
        <w:rPr>
          <w:rFonts w:hint="eastAsia"/>
          <w:sz w:val="24"/>
          <w:szCs w:val="24"/>
          <w:lang w:val="en-US" w:eastAsia="zh-CN"/>
        </w:rPr>
        <w:t>中国自改革开放后不断加大开放力度，中国与他国间更多的交流使中国的大学生对于外界更加好奇，从而有意留学。</w:t>
      </w:r>
    </w:p>
    <w:p>
      <w:pPr>
        <w:numPr>
          <w:numId w:val="0"/>
        </w:numPr>
        <w:spacing w:line="360" w:lineRule="auto"/>
        <w:ind w:firstLine="480"/>
        <w:rPr>
          <w:rFonts w:hint="default"/>
          <w:sz w:val="24"/>
          <w:szCs w:val="24"/>
          <w:lang w:val="en-US" w:eastAsia="zh-CN"/>
        </w:rPr>
      </w:pPr>
      <w:r>
        <w:rPr>
          <w:rFonts w:hint="eastAsia"/>
          <w:sz w:val="24"/>
          <w:szCs w:val="24"/>
          <w:lang w:val="en-US" w:eastAsia="zh-CN"/>
        </w:rPr>
        <w:t>总体上看，中国的政治环境以及政府出台的相关政策都使得中国的大学生更容易出国留学，也更愿意出国留学，但同时也让更多留学生有归国意愿。</w:t>
      </w:r>
    </w:p>
    <w:p>
      <w:pPr>
        <w:numPr>
          <w:numId w:val="0"/>
        </w:numPr>
        <w:spacing w:line="360" w:lineRule="auto"/>
        <w:rPr>
          <w:rFonts w:hint="eastAsia"/>
          <w:b/>
          <w:bCs/>
          <w:sz w:val="30"/>
          <w:szCs w:val="30"/>
          <w:lang w:val="en-US" w:eastAsia="zh-CN"/>
        </w:rPr>
      </w:pPr>
      <w:r>
        <w:rPr>
          <w:rFonts w:hint="eastAsia"/>
          <w:b/>
          <w:bCs/>
          <w:sz w:val="30"/>
          <w:szCs w:val="30"/>
          <w:lang w:val="en-US" w:eastAsia="zh-CN"/>
        </w:rPr>
        <w:t>6.2经济环境</w:t>
      </w:r>
    </w:p>
    <w:p>
      <w:pPr>
        <w:numPr>
          <w:numId w:val="0"/>
        </w:numPr>
        <w:spacing w:line="360" w:lineRule="auto"/>
        <w:ind w:firstLine="480"/>
        <w:rPr>
          <w:rFonts w:hint="eastAsia"/>
          <w:sz w:val="24"/>
          <w:szCs w:val="24"/>
          <w:lang w:val="en-US" w:eastAsia="zh-CN"/>
        </w:rPr>
      </w:pPr>
      <w:r>
        <w:rPr>
          <w:rFonts w:hint="eastAsia"/>
          <w:sz w:val="24"/>
          <w:szCs w:val="24"/>
          <w:lang w:val="en-US" w:eastAsia="zh-CN"/>
        </w:rPr>
        <w:t>从人均GDP来看，中国人均GDP一直保持着较高的增长率，近10年中年增长率平均约为6%，大大超过了世界平均水平，这使得中国人所拥有的财富越来越多，更多的家庭有能力去承担在以往较为高昂的留学费用，这就让大学生获得了更多的机会选择去不去留学，也让现在的大学生无需向以前的大学生一样在留学的国家努力均衡学习和工作，而这会促使更多以研究为目标的大学生去留学。</w:t>
      </w:r>
    </w:p>
    <w:p>
      <w:pPr>
        <w:numPr>
          <w:numId w:val="0"/>
        </w:numPr>
        <w:spacing w:line="360" w:lineRule="auto"/>
        <w:ind w:firstLine="480"/>
        <w:rPr>
          <w:rFonts w:hint="eastAsia"/>
          <w:sz w:val="24"/>
          <w:szCs w:val="24"/>
          <w:lang w:val="en-US" w:eastAsia="zh-CN"/>
        </w:rPr>
      </w:pPr>
      <w:r>
        <w:rPr>
          <w:rFonts w:hint="eastAsia"/>
          <w:sz w:val="24"/>
          <w:szCs w:val="24"/>
          <w:lang w:val="en-US" w:eastAsia="zh-CN"/>
        </w:rPr>
        <w:t>为学生留学的过程提供服务也现在也成为了一项产业，各留学机构不断在中国开办，通过帮助办理相关手续、出国前的培训等事务赚取佣金，虽然目前没有A股上市的留学机构，但通过2016年前后新通留学准备在是A股上市来看，留学这一产业增长相当迅速。</w:t>
      </w:r>
    </w:p>
    <w:p>
      <w:pPr>
        <w:numPr>
          <w:numId w:val="0"/>
        </w:numPr>
        <w:spacing w:line="360" w:lineRule="auto"/>
        <w:ind w:firstLine="480"/>
        <w:rPr>
          <w:rFonts w:hint="eastAsia"/>
          <w:sz w:val="24"/>
          <w:szCs w:val="24"/>
          <w:lang w:val="en-US" w:eastAsia="zh-CN"/>
        </w:rPr>
      </w:pPr>
      <w:r>
        <w:rPr>
          <w:rFonts w:hint="eastAsia"/>
          <w:sz w:val="24"/>
          <w:szCs w:val="24"/>
          <w:lang w:val="en-US" w:eastAsia="zh-CN"/>
        </w:rPr>
        <w:t>由于2020年新冠疫情的影响，中国经济遭受影响，经济增长放缓明显，很多公司经营上出现了问题，很多人的收入下降，留学对家庭的负担上升，降低了大学生留学的意愿。</w:t>
      </w:r>
    </w:p>
    <w:p>
      <w:pPr>
        <w:numPr>
          <w:numId w:val="0"/>
        </w:numPr>
        <w:spacing w:line="360" w:lineRule="auto"/>
        <w:ind w:firstLine="480"/>
        <w:rPr>
          <w:rFonts w:hint="default"/>
          <w:sz w:val="24"/>
          <w:szCs w:val="24"/>
          <w:lang w:val="en-US" w:eastAsia="zh-CN"/>
        </w:rPr>
      </w:pPr>
      <w:r>
        <w:rPr>
          <w:rFonts w:hint="eastAsia"/>
          <w:sz w:val="24"/>
          <w:szCs w:val="24"/>
          <w:lang w:val="en-US" w:eastAsia="zh-CN"/>
        </w:rPr>
        <w:t>总体来看，经济情况与留学的发展有着正相关的关系，经济的发展带来留学人数的增加，而经济较弱时人们更倾向于留在国内。</w:t>
      </w:r>
    </w:p>
    <w:p>
      <w:pPr>
        <w:numPr>
          <w:numId w:val="0"/>
        </w:numPr>
        <w:spacing w:line="360" w:lineRule="auto"/>
        <w:rPr>
          <w:rFonts w:hint="eastAsia"/>
          <w:b/>
          <w:bCs/>
          <w:sz w:val="30"/>
          <w:szCs w:val="30"/>
          <w:lang w:val="en-US" w:eastAsia="zh-CN"/>
        </w:rPr>
      </w:pPr>
      <w:r>
        <w:rPr>
          <w:rFonts w:hint="eastAsia"/>
          <w:b/>
          <w:bCs/>
          <w:sz w:val="30"/>
          <w:szCs w:val="30"/>
          <w:lang w:val="en-US" w:eastAsia="zh-CN"/>
        </w:rPr>
        <w:t>6.3社会文化环境</w:t>
      </w:r>
    </w:p>
    <w:p>
      <w:pPr>
        <w:numPr>
          <w:ilvl w:val="0"/>
          <w:numId w:val="0"/>
        </w:numPr>
        <w:spacing w:line="360" w:lineRule="auto"/>
        <w:ind w:firstLine="480"/>
        <w:rPr>
          <w:rFonts w:hint="eastAsia"/>
          <w:sz w:val="24"/>
          <w:szCs w:val="24"/>
          <w:lang w:val="en-US" w:eastAsia="zh-CN"/>
        </w:rPr>
      </w:pPr>
      <w:r>
        <w:rPr>
          <w:rFonts w:hint="eastAsia"/>
          <w:sz w:val="24"/>
          <w:szCs w:val="24"/>
          <w:lang w:val="en-US" w:eastAsia="zh-CN"/>
        </w:rPr>
        <w:t>随着国家开放的不断进步，中国的本土文化与国外的文化不断交互杂糅，中国对外部文化的兴趣不断加深，在一些情况下，部分中国人对中国的一些文化以及社会情况相较于国外的文化和社会情况怀有一些自卑感，从而使更多大学生想出国留学以体验不同的文化。</w:t>
      </w:r>
    </w:p>
    <w:p>
      <w:pPr>
        <w:numPr>
          <w:ilvl w:val="0"/>
          <w:numId w:val="0"/>
        </w:numPr>
        <w:spacing w:line="360" w:lineRule="auto"/>
        <w:ind w:firstLine="480"/>
        <w:rPr>
          <w:rFonts w:hint="eastAsia"/>
          <w:sz w:val="24"/>
          <w:szCs w:val="24"/>
          <w:lang w:val="en-US" w:eastAsia="zh-CN"/>
        </w:rPr>
      </w:pPr>
      <w:r>
        <w:rPr>
          <w:rFonts w:hint="eastAsia"/>
          <w:sz w:val="24"/>
          <w:szCs w:val="24"/>
          <w:lang w:val="en-US" w:eastAsia="zh-CN"/>
        </w:rPr>
        <w:t>早期很多大学生出国留学后获得了非常丰厚的回报，在国外的生活相较于国内有非常大的提高，而这些事情一直影响至今，使中国社会普遍存在出国留学后就能获得远高于国内生活条件的生活的认知，这成为一些大学生出国留学的最初原因。</w:t>
      </w:r>
    </w:p>
    <w:p>
      <w:pPr>
        <w:numPr>
          <w:ilvl w:val="0"/>
          <w:numId w:val="0"/>
        </w:numPr>
        <w:spacing w:line="360" w:lineRule="auto"/>
        <w:ind w:firstLine="480"/>
        <w:rPr>
          <w:rFonts w:hint="eastAsia"/>
          <w:sz w:val="24"/>
          <w:szCs w:val="24"/>
          <w:lang w:val="en-US" w:eastAsia="zh-CN"/>
        </w:rPr>
      </w:pPr>
      <w:r>
        <w:rPr>
          <w:rFonts w:hint="eastAsia"/>
          <w:sz w:val="24"/>
          <w:szCs w:val="24"/>
          <w:lang w:val="en-US" w:eastAsia="zh-CN"/>
        </w:rPr>
        <w:t>2020年疫情使外国社会对华裔的仇视加剧，中国社会也因此对国外有了更多的敌视，从而降低了留学的意愿。</w:t>
      </w:r>
    </w:p>
    <w:p>
      <w:pPr>
        <w:numPr>
          <w:ilvl w:val="0"/>
          <w:numId w:val="0"/>
        </w:numPr>
        <w:spacing w:line="360" w:lineRule="auto"/>
        <w:ind w:firstLine="480"/>
        <w:rPr>
          <w:rFonts w:hint="default"/>
          <w:sz w:val="24"/>
          <w:szCs w:val="24"/>
          <w:lang w:val="en-US" w:eastAsia="zh-CN"/>
        </w:rPr>
      </w:pPr>
      <w:r>
        <w:rPr>
          <w:rFonts w:hint="eastAsia"/>
          <w:sz w:val="24"/>
          <w:szCs w:val="24"/>
          <w:lang w:val="en-US" w:eastAsia="zh-CN"/>
        </w:rPr>
        <w:t>抛开疫情问题，总体来看，中国的社会文化环境对于出国留学持积极态度，特别是前往美英等西方发达国家。</w:t>
      </w:r>
    </w:p>
    <w:p>
      <w:pPr>
        <w:numPr>
          <w:numId w:val="0"/>
        </w:numPr>
        <w:spacing w:line="360" w:lineRule="auto"/>
        <w:rPr>
          <w:rFonts w:hint="eastAsia"/>
          <w:b/>
          <w:bCs/>
          <w:sz w:val="30"/>
          <w:szCs w:val="30"/>
          <w:lang w:val="en-US" w:eastAsia="zh-CN"/>
        </w:rPr>
      </w:pPr>
      <w:r>
        <w:rPr>
          <w:rFonts w:hint="eastAsia"/>
          <w:b/>
          <w:bCs/>
          <w:sz w:val="30"/>
          <w:szCs w:val="30"/>
          <w:lang w:val="en-US" w:eastAsia="zh-CN"/>
        </w:rPr>
        <w:t>6.4技术环境</w:t>
      </w:r>
    </w:p>
    <w:p>
      <w:pPr>
        <w:numPr>
          <w:numId w:val="0"/>
        </w:numPr>
        <w:spacing w:line="360" w:lineRule="auto"/>
        <w:ind w:firstLine="480"/>
        <w:rPr>
          <w:rFonts w:hint="eastAsia"/>
          <w:sz w:val="24"/>
          <w:szCs w:val="24"/>
          <w:lang w:val="en-US" w:eastAsia="zh-CN"/>
        </w:rPr>
      </w:pPr>
      <w:r>
        <w:rPr>
          <w:rFonts w:hint="eastAsia"/>
          <w:sz w:val="24"/>
          <w:szCs w:val="24"/>
          <w:lang w:val="en-US" w:eastAsia="zh-CN"/>
        </w:rPr>
        <w:t>中国科技的迅速发展使中国在很多科学领域上已经达到了世界先进甚至世界领先的水平，这使得很多大学生无需向几十年前那样前往国外学习先进的科学技术，但与此同时中国在某些方面仍与国外有明显差距，无法做到核心技术的实现，如芯片、特种钢材等行业，这就需要大学生去其他国家进行交流学习。</w:t>
      </w:r>
    </w:p>
    <w:p>
      <w:pPr>
        <w:numPr>
          <w:numId w:val="0"/>
        </w:numPr>
        <w:spacing w:line="360" w:lineRule="auto"/>
        <w:ind w:firstLine="480"/>
        <w:rPr>
          <w:rFonts w:hint="default"/>
          <w:sz w:val="24"/>
          <w:szCs w:val="24"/>
          <w:lang w:val="en-US" w:eastAsia="zh-CN"/>
        </w:rPr>
      </w:pPr>
      <w:r>
        <w:rPr>
          <w:rFonts w:hint="eastAsia"/>
          <w:sz w:val="24"/>
          <w:szCs w:val="24"/>
          <w:lang w:val="en-US" w:eastAsia="zh-CN"/>
        </w:rPr>
        <w:t>中国技术发展的迅速也使一些国家对中国有所防范，对中国某些特殊领域的大学生进行了留学的限制，以防止核心技术的泄露。</w:t>
      </w:r>
    </w:p>
    <w:p>
      <w:pPr>
        <w:numPr>
          <w:ilvl w:val="0"/>
          <w:numId w:val="1"/>
        </w:numPr>
        <w:spacing w:line="360" w:lineRule="auto"/>
        <w:rPr>
          <w:rFonts w:hint="default"/>
          <w:b/>
          <w:bCs/>
          <w:sz w:val="32"/>
          <w:szCs w:val="32"/>
          <w:lang w:val="en-US" w:eastAsia="zh-CN"/>
        </w:rPr>
      </w:pPr>
      <w:r>
        <w:rPr>
          <w:rFonts w:hint="eastAsia"/>
          <w:b/>
          <w:bCs/>
          <w:sz w:val="32"/>
          <w:szCs w:val="32"/>
          <w:lang w:val="en-US" w:eastAsia="zh-CN"/>
        </w:rPr>
        <w:t>大学生留学意愿情况调查结果分析</w:t>
      </w:r>
    </w:p>
    <w:p>
      <w:pPr>
        <w:spacing w:line="360" w:lineRule="auto"/>
        <w:ind w:firstLine="480"/>
        <w:rPr>
          <w:sz w:val="24"/>
          <w:szCs w:val="24"/>
        </w:rPr>
      </w:pPr>
      <w:r>
        <w:rPr>
          <w:rFonts w:hint="eastAsia"/>
          <w:sz w:val="24"/>
          <w:szCs w:val="24"/>
        </w:rPr>
        <w:t>根据上面所述的问卷的处理方式，我们将通过调查问卷调查所获得的数据输入SPSS中，对所得的结果进行分析。</w:t>
      </w:r>
    </w:p>
    <w:p>
      <w:pPr>
        <w:spacing w:line="360" w:lineRule="auto"/>
        <w:ind w:firstLine="480"/>
        <w:rPr>
          <w:sz w:val="24"/>
          <w:szCs w:val="24"/>
        </w:rPr>
      </w:pPr>
      <w:r>
        <w:rPr>
          <w:rFonts w:hint="eastAsia"/>
          <w:sz w:val="24"/>
          <w:szCs w:val="24"/>
        </w:rPr>
        <w:t>分析主要针对问卷中的结果进行各大类中各项指标的统计分析，并选择合适的项进行相关分析、回归分析。</w:t>
      </w:r>
    </w:p>
    <w:p>
      <w:pPr>
        <w:numPr>
          <w:ilvl w:val="0"/>
          <w:numId w:val="0"/>
        </w:numPr>
        <w:spacing w:line="360" w:lineRule="auto"/>
        <w:rPr>
          <w:rFonts w:hint="eastAsia"/>
          <w:b/>
          <w:bCs/>
          <w:sz w:val="32"/>
          <w:szCs w:val="32"/>
          <w:lang w:val="en-US" w:eastAsia="zh-CN"/>
        </w:rPr>
      </w:pPr>
      <w:r>
        <w:rPr>
          <w:rFonts w:hint="eastAsia"/>
          <w:b/>
          <w:bCs/>
          <w:sz w:val="32"/>
          <w:szCs w:val="32"/>
          <w:lang w:val="en-US" w:eastAsia="zh-CN"/>
        </w:rPr>
        <w:t>7.1大学生留学意愿情况分析</w:t>
      </w:r>
    </w:p>
    <w:p>
      <w:pPr>
        <w:spacing w:line="360" w:lineRule="auto"/>
        <w:ind w:firstLine="465"/>
        <w:rPr>
          <w:rFonts w:hint="eastAsia"/>
          <w:sz w:val="24"/>
          <w:szCs w:val="24"/>
          <w:lang w:val="en-US" w:eastAsia="zh-CN"/>
        </w:rPr>
      </w:pPr>
      <w:r>
        <w:rPr>
          <w:rFonts w:hint="eastAsia"/>
          <w:sz w:val="24"/>
          <w:szCs w:val="24"/>
        </w:rPr>
        <w:t>针对大学生</w:t>
      </w:r>
      <w:r>
        <w:rPr>
          <w:rFonts w:hint="eastAsia"/>
          <w:sz w:val="24"/>
          <w:szCs w:val="24"/>
          <w:lang w:val="en-US" w:eastAsia="zh-CN"/>
        </w:rPr>
        <w:t>留学意愿、个人思想观念、家庭情况、学习成绩</w:t>
      </w:r>
      <w:r>
        <w:rPr>
          <w:rFonts w:hint="eastAsia"/>
          <w:sz w:val="24"/>
          <w:szCs w:val="24"/>
        </w:rPr>
        <w:t>进行统计分析。</w:t>
      </w:r>
    </w:p>
    <w:p>
      <w:pPr>
        <w:numPr>
          <w:ilvl w:val="0"/>
          <w:numId w:val="0"/>
        </w:numPr>
        <w:spacing w:line="360" w:lineRule="auto"/>
        <w:rPr>
          <w:rFonts w:hint="eastAsia"/>
          <w:b/>
          <w:bCs/>
          <w:sz w:val="30"/>
          <w:szCs w:val="30"/>
          <w:lang w:val="en-US" w:eastAsia="zh-CN"/>
        </w:rPr>
      </w:pPr>
      <w:r>
        <w:rPr>
          <w:rFonts w:hint="eastAsia"/>
          <w:b/>
          <w:bCs/>
          <w:sz w:val="30"/>
          <w:szCs w:val="30"/>
          <w:lang w:val="en-US" w:eastAsia="zh-CN"/>
        </w:rPr>
        <w:t>7.1.1大学生留学意愿</w:t>
      </w:r>
    </w:p>
    <w:p>
      <w:pPr>
        <w:numPr>
          <w:ilvl w:val="0"/>
          <w:numId w:val="0"/>
        </w:numPr>
        <w:spacing w:line="360" w:lineRule="auto"/>
        <w:ind w:firstLine="480"/>
        <w:rPr>
          <w:rFonts w:hint="eastAsia"/>
          <w:sz w:val="24"/>
          <w:szCs w:val="24"/>
          <w:lang w:val="en-US" w:eastAsia="zh-CN"/>
        </w:rPr>
      </w:pPr>
      <w:r>
        <w:rPr>
          <w:rFonts w:hint="eastAsia"/>
          <w:sz w:val="24"/>
          <w:szCs w:val="24"/>
          <w:lang w:val="en-US" w:eastAsia="zh-CN"/>
        </w:rPr>
        <w:t>从统计数据来看，留学意愿按人数排从高到低为无意愿、在考虑、有意愿、强烈渴望、强烈拒绝，大部分学生对于留学无意愿，从实际出国留学人数可以看出确实如此，而对留学有非常强烈态度的人非常少，具体如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ilvl w:val="0"/>
                <w:numId w:val="0"/>
              </w:numPr>
              <w:spacing w:line="360" w:lineRule="auto"/>
              <w:jc w:val="center"/>
              <w:rPr>
                <w:rFonts w:hint="default"/>
                <w:sz w:val="24"/>
                <w:szCs w:val="24"/>
                <w:vertAlign w:val="baseline"/>
                <w:lang w:val="en-US" w:eastAsia="zh-CN"/>
              </w:rPr>
            </w:pP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强烈渴望</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有意愿</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在考虑</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无意愿</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强烈拒绝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人数</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4</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15</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15</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67</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占比</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3.9%</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14.6%</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14.6%</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65%</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排序</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3</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4</w:t>
            </w:r>
          </w:p>
        </w:tc>
      </w:tr>
    </w:tbl>
    <w:p>
      <w:pPr>
        <w:numPr>
          <w:ilvl w:val="0"/>
          <w:numId w:val="0"/>
        </w:numPr>
        <w:spacing w:line="360" w:lineRule="auto"/>
        <w:rPr>
          <w:rFonts w:hint="eastAsia"/>
          <w:b/>
          <w:bCs/>
          <w:sz w:val="30"/>
          <w:szCs w:val="30"/>
          <w:lang w:val="en-US" w:eastAsia="zh-CN"/>
        </w:rPr>
      </w:pPr>
      <w:r>
        <w:rPr>
          <w:rFonts w:hint="eastAsia"/>
          <w:b/>
          <w:bCs/>
          <w:sz w:val="30"/>
          <w:szCs w:val="30"/>
          <w:lang w:val="en-US" w:eastAsia="zh-CN"/>
        </w:rPr>
        <w:t>7.1.2学习成绩</w:t>
      </w:r>
    </w:p>
    <w:p>
      <w:pPr>
        <w:numPr>
          <w:ilvl w:val="0"/>
          <w:numId w:val="0"/>
        </w:numPr>
        <w:spacing w:line="360" w:lineRule="auto"/>
        <w:ind w:firstLine="480"/>
        <w:rPr>
          <w:rFonts w:hint="eastAsia"/>
          <w:sz w:val="24"/>
          <w:szCs w:val="24"/>
          <w:lang w:val="en-US" w:eastAsia="zh-CN"/>
        </w:rPr>
      </w:pPr>
      <w:r>
        <w:rPr>
          <w:rFonts w:hint="eastAsia"/>
          <w:sz w:val="24"/>
          <w:szCs w:val="24"/>
          <w:lang w:val="en-US" w:eastAsia="zh-CN"/>
        </w:rPr>
        <w:t>从统计数据来看，学习成绩（绩点）按人数排从高到低为3.0~3.5、3.5及以上、2.5~3.0、2.0~2.5、2.0以下，绝大部分学生绩点为2.5以上，极少数学生绩点在2.5以下，具体如下表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ilvl w:val="0"/>
                <w:numId w:val="0"/>
              </w:numPr>
              <w:spacing w:line="360" w:lineRule="auto"/>
              <w:jc w:val="center"/>
              <w:rPr>
                <w:rFonts w:hint="default"/>
                <w:sz w:val="24"/>
                <w:szCs w:val="24"/>
                <w:vertAlign w:val="baseline"/>
                <w:lang w:val="en-US" w:eastAsia="zh-CN"/>
              </w:rPr>
            </w:pP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3.5及以上</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3.0~3.5</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2.5~3.0</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2.0~2.5</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人数</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30</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44</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26</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占比</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29.1%</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42.7%</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25.2%</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1.9%</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排序</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1</w:t>
            </w:r>
          </w:p>
        </w:tc>
        <w:tc>
          <w:tcPr>
            <w:tcW w:w="142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4</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4</w:t>
            </w:r>
          </w:p>
        </w:tc>
        <w:tc>
          <w:tcPr>
            <w:tcW w:w="142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5</w:t>
            </w:r>
          </w:p>
        </w:tc>
      </w:tr>
    </w:tbl>
    <w:p>
      <w:pPr>
        <w:numPr>
          <w:ilvl w:val="0"/>
          <w:numId w:val="0"/>
        </w:numPr>
        <w:spacing w:line="360" w:lineRule="auto"/>
        <w:rPr>
          <w:rFonts w:hint="eastAsia"/>
          <w:b/>
          <w:bCs/>
          <w:sz w:val="30"/>
          <w:szCs w:val="30"/>
          <w:lang w:val="en-US" w:eastAsia="zh-CN"/>
        </w:rPr>
      </w:pPr>
      <w:r>
        <w:rPr>
          <w:rFonts w:hint="eastAsia"/>
          <w:b/>
          <w:bCs/>
          <w:sz w:val="30"/>
          <w:szCs w:val="30"/>
          <w:lang w:val="en-US" w:eastAsia="zh-CN"/>
        </w:rPr>
        <w:t>7.1.3个人思想观念和情况</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问卷中涉及个人思想观念和情况的问题有10个，每一个问题从非常赞成到非常不赞成共分5类，非常赞成得1分，非常不赞成得5分，平均分小于3则多数人赞同，平均分大于3则多数人不赞同。</w:t>
      </w:r>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有统计可知，大多学生认为国外教育好于国内教育，想在科研上有所提升，认为留学生就业有优势；而相较于国外更愿意住在中国，身边有出国留学想法的人不多；很多人认为留学对家庭有很大的压力，国外的学习生活对他们来说也较为有压力。</w:t>
      </w:r>
    </w:p>
    <w:p>
      <w:pPr>
        <w:spacing w:beforeLines="0" w:afterLines="0"/>
        <w:rPr>
          <w:rFonts w:hint="default"/>
          <w:sz w:val="24"/>
          <w:szCs w:val="24"/>
        </w:rPr>
      </w:pPr>
    </w:p>
    <w:tbl>
      <w:tblPr>
        <w:tblStyle w:val="5"/>
        <w:tblW w:w="57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039"/>
        <w:gridCol w:w="16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6" w:hRule="atLeast"/>
        </w:trPr>
        <w:tc>
          <w:tcPr>
            <w:tcW w:w="4039" w:type="dxa"/>
            <w:tcBorders>
              <w:top w:val="single" w:color="152935"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center"/>
              <w:rPr>
                <w:rFonts w:hint="eastAsia" w:eastAsiaTheme="minorEastAsia"/>
                <w:color w:val="264A60"/>
                <w:sz w:val="24"/>
                <w:szCs w:val="24"/>
                <w:lang w:val="en-US" w:eastAsia="zh-CN"/>
              </w:rPr>
            </w:pPr>
            <w:r>
              <w:rPr>
                <w:rFonts w:hint="eastAsia"/>
                <w:b/>
                <w:bCs/>
                <w:color w:val="264A60"/>
                <w:sz w:val="28"/>
                <w:szCs w:val="28"/>
                <w:lang w:val="en-US" w:eastAsia="zh-CN"/>
              </w:rPr>
              <w:t>问题</w:t>
            </w:r>
          </w:p>
        </w:tc>
        <w:tc>
          <w:tcPr>
            <w:tcW w:w="1690"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eastAsiaTheme="minorEastAsia"/>
                <w:color w:val="010205"/>
                <w:sz w:val="24"/>
                <w:szCs w:val="24"/>
                <w:lang w:val="en-US" w:eastAsia="zh-CN"/>
              </w:rPr>
            </w:pPr>
            <w:r>
              <w:rPr>
                <w:rFonts w:hint="eastAsia"/>
                <w:b/>
                <w:bCs/>
                <w:color w:val="010205"/>
                <w:sz w:val="28"/>
                <w:szCs w:val="28"/>
                <w:lang w:val="en-US" w:eastAsia="zh-CN"/>
              </w:rPr>
              <w:t>平均分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6" w:hRule="atLeast"/>
        </w:trPr>
        <w:tc>
          <w:tcPr>
            <w:tcW w:w="4039" w:type="dxa"/>
            <w:tcBorders>
              <w:top w:val="single" w:color="152935"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您认为国外教育方式和教育水平较国内更好</w:t>
            </w:r>
          </w:p>
        </w:tc>
        <w:tc>
          <w:tcPr>
            <w:tcW w:w="1690"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57"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您想在科研方面有所提升</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6"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您认为留学生在就业方面较国内大学毕业生有优势</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39"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您有定居国外的想法</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3.50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57"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您身边有想出国留学的朋友、同学或亲戚</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3.75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6"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您认为出国留学的开销会给家庭带来经济压力</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1.64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976"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您认为出国留学后的学习内容会给您带来压力</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1.94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57"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您认为申请到自己满意的外国学校有困难</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657" w:hRule="atLeast"/>
        </w:trPr>
        <w:tc>
          <w:tcPr>
            <w:tcW w:w="403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您认为自己难以适应国外的社交生活</w:t>
            </w:r>
          </w:p>
        </w:tc>
        <w:tc>
          <w:tcPr>
            <w:tcW w:w="1690"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996" w:hRule="atLeast"/>
        </w:trPr>
        <w:tc>
          <w:tcPr>
            <w:tcW w:w="4039" w:type="dxa"/>
            <w:tcBorders>
              <w:top w:val="single" w:color="AEAEAE" w:sz="8" w:space="0"/>
              <w:left w:val="single" w:color="E0E0E0" w:sz="8" w:space="0"/>
              <w:bottom w:val="single" w:color="152935" w:sz="8" w:space="0"/>
              <w:right w:val="single" w:color="E0E0E0" w:sz="8" w:space="0"/>
              <w:tl2br w:val="nil"/>
              <w:tr2bl w:val="nil"/>
            </w:tcBorders>
            <w:shd w:val="clear" w:color="auto" w:fill="E0E0E0"/>
            <w:noWrap w:val="0"/>
            <w:vAlign w:val="top"/>
          </w:tcPr>
          <w:p>
            <w:pPr>
              <w:spacing w:beforeLines="0" w:afterLines="0" w:line="320" w:lineRule="atLeast"/>
              <w:ind w:left="60" w:right="60"/>
              <w:jc w:val="both"/>
              <w:rPr>
                <w:rFonts w:hint="default"/>
                <w:color w:val="264A60"/>
                <w:sz w:val="24"/>
                <w:szCs w:val="24"/>
              </w:rPr>
            </w:pPr>
            <w:r>
              <w:rPr>
                <w:rFonts w:hint="default"/>
                <w:color w:val="264A60"/>
                <w:sz w:val="24"/>
                <w:szCs w:val="24"/>
              </w:rPr>
              <w:t>您认为自己难以适应国外的生活环境（如食物、住宿、交通等）</w:t>
            </w:r>
          </w:p>
        </w:tc>
        <w:tc>
          <w:tcPr>
            <w:tcW w:w="1690"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2.37</w:t>
            </w:r>
          </w:p>
        </w:tc>
      </w:tr>
    </w:tbl>
    <w:p>
      <w:pPr>
        <w:spacing w:beforeLines="0" w:afterLines="0" w:line="400" w:lineRule="atLeast"/>
        <w:jc w:val="center"/>
        <w:rPr>
          <w:rFonts w:hint="default" w:ascii="Times New Roman" w:hAnsi="Times New Roman" w:eastAsia="Times New Roman"/>
          <w:sz w:val="24"/>
          <w:szCs w:val="24"/>
        </w:rPr>
      </w:pPr>
    </w:p>
    <w:p>
      <w:pPr>
        <w:numPr>
          <w:ilvl w:val="0"/>
          <w:numId w:val="0"/>
        </w:numPr>
        <w:spacing w:line="360" w:lineRule="auto"/>
        <w:rPr>
          <w:rFonts w:hint="eastAsia"/>
          <w:sz w:val="24"/>
          <w:szCs w:val="24"/>
          <w:lang w:val="en-US" w:eastAsia="zh-CN"/>
        </w:rPr>
      </w:pPr>
    </w:p>
    <w:p>
      <w:pPr>
        <w:numPr>
          <w:ilvl w:val="0"/>
          <w:numId w:val="0"/>
        </w:numPr>
        <w:spacing w:line="360" w:lineRule="auto"/>
        <w:rPr>
          <w:rFonts w:hint="default"/>
          <w:b/>
          <w:bCs/>
          <w:sz w:val="30"/>
          <w:szCs w:val="30"/>
          <w:lang w:val="en-US" w:eastAsia="zh-CN"/>
        </w:rPr>
      </w:pPr>
      <w:r>
        <w:rPr>
          <w:rFonts w:hint="eastAsia"/>
          <w:b/>
          <w:bCs/>
          <w:sz w:val="30"/>
          <w:szCs w:val="30"/>
          <w:lang w:val="en-US" w:eastAsia="zh-CN"/>
        </w:rPr>
        <w:t>7.1.4家庭情况</w:t>
      </w:r>
    </w:p>
    <w:p>
      <w:pPr>
        <w:numPr>
          <w:ilvl w:val="0"/>
          <w:numId w:val="0"/>
        </w:numPr>
        <w:spacing w:line="360" w:lineRule="auto"/>
        <w:rPr>
          <w:rFonts w:hint="eastAsia"/>
          <w:sz w:val="24"/>
          <w:szCs w:val="24"/>
          <w:lang w:val="en-US" w:eastAsia="zh-CN"/>
        </w:rPr>
      </w:pPr>
      <w:r>
        <w:rPr>
          <w:rFonts w:hint="eastAsia"/>
          <w:sz w:val="24"/>
          <w:szCs w:val="24"/>
          <w:lang w:val="en-US" w:eastAsia="zh-CN"/>
        </w:rPr>
        <w:t>问卷中家庭情况涉及家庭收入、父母对留学支持程度、父母最高学历</w:t>
      </w:r>
    </w:p>
    <w:p>
      <w:pPr>
        <w:numPr>
          <w:ilvl w:val="0"/>
          <w:numId w:val="2"/>
        </w:numPr>
        <w:spacing w:line="360" w:lineRule="auto"/>
        <w:rPr>
          <w:rFonts w:hint="eastAsia"/>
          <w:sz w:val="24"/>
          <w:szCs w:val="24"/>
          <w:lang w:val="en-US" w:eastAsia="zh-CN"/>
        </w:rPr>
      </w:pPr>
      <w:r>
        <w:rPr>
          <w:rFonts w:hint="eastAsia"/>
          <w:sz w:val="24"/>
          <w:szCs w:val="24"/>
          <w:lang w:val="en-US" w:eastAsia="zh-CN"/>
        </w:rPr>
        <w:t>从统计数据来看，家庭收入按人数排从高到低为10万以下、10~30万、30~50万、50万以上，绝大部分学生家庭收入为30万以下，极少数学生家庭收入在30万以上，具体如下表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43"/>
        <w:gridCol w:w="1643"/>
        <w:gridCol w:w="1643"/>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643" w:type="dxa"/>
          </w:tcPr>
          <w:p>
            <w:pPr>
              <w:spacing w:beforeLines="0" w:afterLines="0"/>
              <w:jc w:val="center"/>
              <w:rPr>
                <w:rFonts w:hint="eastAsia" w:eastAsiaTheme="minorEastAsia"/>
                <w:sz w:val="24"/>
                <w:szCs w:val="24"/>
                <w:vertAlign w:val="baseline"/>
                <w:lang w:val="en-US" w:eastAsia="zh-CN"/>
              </w:rPr>
            </w:pPr>
            <w:r>
              <w:rPr>
                <w:rFonts w:hint="eastAsia"/>
                <w:sz w:val="24"/>
                <w:szCs w:val="24"/>
                <w:vertAlign w:val="baseline"/>
                <w:lang w:val="en-US" w:eastAsia="zh-CN"/>
              </w:rPr>
              <w:t>收入</w:t>
            </w:r>
          </w:p>
        </w:tc>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10万以下</w:t>
            </w:r>
          </w:p>
        </w:tc>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10~30万</w:t>
            </w:r>
          </w:p>
        </w:tc>
        <w:tc>
          <w:tcPr>
            <w:tcW w:w="1644"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30~50万</w:t>
            </w:r>
          </w:p>
        </w:tc>
        <w:tc>
          <w:tcPr>
            <w:tcW w:w="1644"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50万以上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643" w:type="dxa"/>
          </w:tcPr>
          <w:p>
            <w:pPr>
              <w:spacing w:beforeLines="0" w:afterLines="0"/>
              <w:jc w:val="center"/>
              <w:rPr>
                <w:rFonts w:hint="eastAsia" w:eastAsiaTheme="minorEastAsia"/>
                <w:sz w:val="24"/>
                <w:szCs w:val="24"/>
                <w:vertAlign w:val="baseline"/>
                <w:lang w:val="en-US" w:eastAsia="zh-CN"/>
              </w:rPr>
            </w:pPr>
            <w:r>
              <w:rPr>
                <w:rFonts w:hint="eastAsia"/>
                <w:sz w:val="24"/>
                <w:szCs w:val="24"/>
                <w:vertAlign w:val="baseline"/>
                <w:lang w:val="en-US" w:eastAsia="zh-CN"/>
              </w:rPr>
              <w:t>人数</w:t>
            </w:r>
          </w:p>
        </w:tc>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57</w:t>
            </w:r>
          </w:p>
        </w:tc>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39</w:t>
            </w:r>
          </w:p>
        </w:tc>
        <w:tc>
          <w:tcPr>
            <w:tcW w:w="1644" w:type="dxa"/>
          </w:tcPr>
          <w:p>
            <w:pPr>
              <w:spacing w:beforeLines="0" w:afterLines="0"/>
              <w:jc w:val="center"/>
              <w:rPr>
                <w:rFonts w:hint="eastAsia" w:eastAsiaTheme="minorEastAsia"/>
                <w:sz w:val="24"/>
                <w:szCs w:val="24"/>
                <w:vertAlign w:val="baseline"/>
                <w:lang w:val="en-US" w:eastAsia="zh-CN"/>
              </w:rPr>
            </w:pPr>
            <w:r>
              <w:rPr>
                <w:rFonts w:hint="eastAsia"/>
                <w:sz w:val="24"/>
                <w:szCs w:val="24"/>
                <w:vertAlign w:val="baseline"/>
                <w:lang w:val="en-US" w:eastAsia="zh-CN"/>
              </w:rPr>
              <w:t>4</w:t>
            </w:r>
          </w:p>
        </w:tc>
        <w:tc>
          <w:tcPr>
            <w:tcW w:w="1644" w:type="dxa"/>
          </w:tcPr>
          <w:p>
            <w:pPr>
              <w:spacing w:beforeLines="0" w:afterLines="0"/>
              <w:jc w:val="center"/>
              <w:rPr>
                <w:rFonts w:hint="eastAsia" w:eastAsiaTheme="minorEastAsia"/>
                <w:sz w:val="24"/>
                <w:szCs w:val="24"/>
                <w:vertAlign w:val="baseline"/>
                <w:lang w:val="en-US" w:eastAsia="zh-CN"/>
              </w:rPr>
            </w:pPr>
            <w:r>
              <w:rPr>
                <w:rFonts w:hint="eastAsia"/>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0" w:hRule="atLeast"/>
        </w:trPr>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占比</w:t>
            </w:r>
          </w:p>
        </w:tc>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55.3%</w:t>
            </w:r>
          </w:p>
        </w:tc>
        <w:tc>
          <w:tcPr>
            <w:tcW w:w="1643"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37.9%</w:t>
            </w:r>
          </w:p>
        </w:tc>
        <w:tc>
          <w:tcPr>
            <w:tcW w:w="1644"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3.9%</w:t>
            </w:r>
          </w:p>
        </w:tc>
        <w:tc>
          <w:tcPr>
            <w:tcW w:w="1644" w:type="dxa"/>
          </w:tcPr>
          <w:p>
            <w:pPr>
              <w:spacing w:beforeLines="0" w:afterLines="0"/>
              <w:jc w:val="center"/>
              <w:rPr>
                <w:rFonts w:hint="default" w:eastAsiaTheme="minorEastAsia"/>
                <w:sz w:val="24"/>
                <w:szCs w:val="24"/>
                <w:vertAlign w:val="baseline"/>
                <w:lang w:val="en-US" w:eastAsia="zh-CN"/>
              </w:rPr>
            </w:pPr>
            <w:r>
              <w:rPr>
                <w:rFonts w:hint="eastAsia"/>
                <w:sz w:val="24"/>
                <w:szCs w:val="24"/>
                <w:vertAlign w:val="baseline"/>
                <w:lang w:val="en-US" w:eastAsia="zh-CN"/>
              </w:rPr>
              <w:t>2.9%</w:t>
            </w:r>
          </w:p>
        </w:tc>
      </w:tr>
    </w:tbl>
    <w:p>
      <w:pPr>
        <w:spacing w:beforeLines="0" w:afterLines="0"/>
        <w:rPr>
          <w:rFonts w:hint="default"/>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lang w:val="en-US" w:eastAsia="zh-CN"/>
        </w:rPr>
        <w:t>有统计可看出父母的文化程度平均值接近3，所以父母平均的文化水平约为高中（或职业学校），父母对于留学的态度均值为2.77&lt;3，即态度上略偏向于支持。</w:t>
      </w:r>
    </w:p>
    <w:tbl>
      <w:tblPr>
        <w:tblStyle w:val="5"/>
        <w:tblW w:w="3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245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jc w:val="center"/>
              <w:rPr>
                <w:rFonts w:hint="eastAsia" w:eastAsiaTheme="minorEastAsia"/>
                <w:color w:val="264A60"/>
                <w:sz w:val="24"/>
                <w:szCs w:val="24"/>
                <w:lang w:val="en-US" w:eastAsia="zh-CN"/>
              </w:rPr>
            </w:pPr>
            <w:r>
              <w:rPr>
                <w:rFonts w:hint="eastAsia"/>
                <w:b/>
                <w:bCs/>
                <w:color w:val="264A60"/>
                <w:sz w:val="24"/>
                <w:szCs w:val="24"/>
                <w:lang w:val="en-US" w:eastAsia="zh-CN"/>
              </w:rPr>
              <w:t>问题</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eastAsia" w:eastAsiaTheme="minorEastAsia"/>
                <w:color w:val="010205"/>
                <w:sz w:val="24"/>
                <w:szCs w:val="24"/>
                <w:lang w:val="en-US" w:eastAsia="zh-CN"/>
              </w:rPr>
            </w:pPr>
            <w:r>
              <w:rPr>
                <w:rFonts w:hint="eastAsia"/>
                <w:b/>
                <w:bCs/>
                <w:color w:val="010205"/>
                <w:sz w:val="24"/>
                <w:szCs w:val="24"/>
                <w:lang w:val="en-US" w:eastAsia="zh-CN"/>
              </w:rPr>
              <w:t>均分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single" w:color="E0E0E0" w:sz="8" w:space="0"/>
              <w:bottom w:val="single" w:color="AEAEAE" w:sz="8" w:space="0"/>
              <w:right w:val="single" w:color="E0E0E0" w:sz="8" w:space="0"/>
              <w:tl2br w:val="nil"/>
              <w:tr2bl w:val="nil"/>
            </w:tcBorders>
            <w:shd w:val="clear" w:color="auto" w:fill="E0E0E0"/>
            <w:noWrap w:val="0"/>
            <w:vAlign w:val="top"/>
          </w:tcPr>
          <w:p>
            <w:pPr>
              <w:spacing w:beforeLines="0" w:afterLines="0" w:line="320" w:lineRule="atLeast"/>
              <w:ind w:left="60" w:right="60"/>
              <w:rPr>
                <w:rFonts w:hint="default"/>
                <w:color w:val="264A60"/>
                <w:sz w:val="24"/>
                <w:szCs w:val="24"/>
              </w:rPr>
            </w:pPr>
            <w:r>
              <w:rPr>
                <w:rFonts w:hint="default"/>
                <w:color w:val="264A60"/>
                <w:sz w:val="24"/>
                <w:szCs w:val="24"/>
              </w:rPr>
              <w:t>您父母的文化程度（以父母中最高学历为准）</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single" w:color="E0E0E0" w:sz="8" w:space="0"/>
              <w:bottom w:val="single" w:color="152935" w:sz="8" w:space="0"/>
              <w:right w:val="single" w:color="E0E0E0" w:sz="8" w:space="0"/>
              <w:tl2br w:val="nil"/>
              <w:tr2bl w:val="nil"/>
            </w:tcBorders>
            <w:shd w:val="clear" w:color="auto" w:fill="E0E0E0"/>
            <w:noWrap w:val="0"/>
            <w:vAlign w:val="top"/>
          </w:tcPr>
          <w:p>
            <w:pPr>
              <w:spacing w:beforeLines="0" w:afterLines="0" w:line="320" w:lineRule="atLeast"/>
              <w:ind w:left="60" w:right="60"/>
              <w:rPr>
                <w:rFonts w:hint="default"/>
                <w:color w:val="264A60"/>
                <w:sz w:val="24"/>
                <w:szCs w:val="24"/>
              </w:rPr>
            </w:pPr>
            <w:r>
              <w:rPr>
                <w:rFonts w:hint="default"/>
                <w:color w:val="264A60"/>
                <w:sz w:val="24"/>
                <w:szCs w:val="24"/>
              </w:rPr>
              <w:t>父母对你出国留学的态度</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2.77</w:t>
            </w:r>
          </w:p>
        </w:tc>
      </w:tr>
    </w:tbl>
    <w:p>
      <w:pPr>
        <w:numPr>
          <w:numId w:val="0"/>
        </w:numPr>
        <w:spacing w:line="360" w:lineRule="auto"/>
        <w:rPr>
          <w:rFonts w:hint="eastAsia"/>
          <w:sz w:val="24"/>
          <w:szCs w:val="24"/>
          <w:lang w:val="en-US" w:eastAsia="zh-CN"/>
        </w:rPr>
      </w:pPr>
    </w:p>
    <w:p>
      <w:pPr>
        <w:numPr>
          <w:ilvl w:val="0"/>
          <w:numId w:val="0"/>
        </w:numPr>
        <w:spacing w:line="360" w:lineRule="auto"/>
        <w:rPr>
          <w:rFonts w:hint="default"/>
          <w:b/>
          <w:bCs/>
          <w:sz w:val="32"/>
          <w:szCs w:val="32"/>
          <w:lang w:val="en-US" w:eastAsia="zh-CN"/>
        </w:rPr>
      </w:pPr>
      <w:r>
        <w:rPr>
          <w:rFonts w:hint="eastAsia"/>
          <w:b/>
          <w:bCs/>
          <w:sz w:val="32"/>
          <w:szCs w:val="32"/>
          <w:lang w:val="en-US" w:eastAsia="zh-CN"/>
        </w:rPr>
        <w:t>7.2信度分析</w:t>
      </w:r>
    </w:p>
    <w:p>
      <w:pPr>
        <w:spacing w:line="360" w:lineRule="auto"/>
        <w:ind w:firstLine="480" w:firstLineChars="200"/>
        <w:jc w:val="both"/>
        <w:rPr>
          <w:rFonts w:hint="eastAsia" w:ascii="Arial" w:hAnsi="Arial" w:eastAsia="宋体" w:cs="Arial"/>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Arial" w:hAnsi="Arial" w:eastAsia="宋体" w:cs="Arial"/>
          <w:i w:val="0"/>
          <w:iCs w:val="0"/>
          <w:caps w:val="0"/>
          <w:color w:val="000000" w:themeColor="text1"/>
          <w:spacing w:val="0"/>
          <w:sz w:val="24"/>
          <w:szCs w:val="24"/>
          <w:shd w:val="clear" w:fill="FFFFFF"/>
          <w14:textFill>
            <w14:solidFill>
              <w14:schemeClr w14:val="tx1"/>
            </w14:solidFill>
          </w14:textFill>
        </w:rPr>
        <w:t>信度即</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"https://baike.baidu.com/item/%E5%8F%AF%E9%9D%A0%E6%80%A7/512935"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可靠性</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，它是指采用同样的方法对同一</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"https://baike.baidu.com/item/%E5%AF%B9%E8%B1%A1/17158"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对象</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重复测量时所得结果的一致性程度。信度</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"https://baike.baidu.com/item/%E6%8C%87%E6%A0%87/10573711"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指标</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多以</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"https://baike.baidu.com/item/%E7%9B%B8%E5%85%B3%E7%B3%BB%E6%95%B0/3109424"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相关系数</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表示，大致可分为三类：</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"https://baike.baidu.com/item/%E7%A8%B3%E5%AE%9A%E7%B3%BB%E6%95%B0/9486211"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稳定系数</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（跨时间的一致性），等值系数（跨形式的一致性）和内在</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"https://baike.baidu.com/item/%E4%B8%80%E8%87%B4%E6%80%A7/9840083"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一致性</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"https://baike.baidu.com/item/%E7%B3%BB%E6%95%B0/101536"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系数</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（跨项目的一致性）。信度分析的方法主要有以下四种：重测信</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"https://baike.baidu.com/item/%E5%BA%A6/5542"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度</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法、复本</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instrText xml:space="preserve"> HYPERLINK "https://baike.baidu.com/item/%E4%BF%A1%E5%BA%A6/6593775" \t "https://baike.baidu.com/item/%E4%BF%A1%E5%BA%A6%E5%88%86%E6%9E%90/_blank" </w:instrTex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信度</w:t>
      </w:r>
      <w:r>
        <w:rPr>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法、折半信度法、α信度系数法。</w:t>
      </w:r>
      <w:r>
        <w:rPr>
          <w:rFonts w:hint="eastAsia" w:ascii="Arial" w:hAnsi="Arial" w:eastAsia="宋体" w:cs="Arial"/>
          <w:i w:val="0"/>
          <w:iCs w:val="0"/>
          <w:caps w:val="0"/>
          <w:color w:val="000000" w:themeColor="text1"/>
          <w:spacing w:val="0"/>
          <w:sz w:val="24"/>
          <w:szCs w:val="24"/>
          <w:shd w:val="clear" w:fill="FFFFFF"/>
          <w:lang w:val="en-US" w:eastAsia="zh-CN"/>
          <w14:textFill>
            <w14:solidFill>
              <w14:schemeClr w14:val="tx1"/>
            </w14:solidFill>
          </w14:textFill>
        </w:rPr>
        <w:t>此处我们采用</w:t>
      </w:r>
      <w:r>
        <w:rPr>
          <w:rFonts w:hint="default" w:ascii="Arial" w:hAnsi="Arial" w:eastAsia="宋体" w:cs="Arial"/>
          <w:i w:val="0"/>
          <w:iCs w:val="0"/>
          <w:caps w:val="0"/>
          <w:color w:val="000000" w:themeColor="text1"/>
          <w:spacing w:val="0"/>
          <w:sz w:val="24"/>
          <w:szCs w:val="24"/>
          <w:shd w:val="clear" w:fill="FFFFFF"/>
          <w14:textFill>
            <w14:solidFill>
              <w14:schemeClr w14:val="tx1"/>
            </w14:solidFill>
          </w14:textFill>
        </w:rPr>
        <w:t>α</w:t>
      </w:r>
      <w:r>
        <w:rPr>
          <w:rFonts w:hint="eastAsia" w:ascii="Arial" w:hAnsi="Arial" w:eastAsia="宋体" w:cs="Arial"/>
          <w:i w:val="0"/>
          <w:iCs w:val="0"/>
          <w:caps w:val="0"/>
          <w:color w:val="000000" w:themeColor="text1"/>
          <w:spacing w:val="0"/>
          <w:sz w:val="24"/>
          <w:szCs w:val="24"/>
          <w:shd w:val="clear" w:fill="FFFFFF"/>
          <w:lang w:val="en-US" w:eastAsia="zh-CN"/>
          <w14:textFill>
            <w14:solidFill>
              <w14:schemeClr w14:val="tx1"/>
            </w14:solidFill>
          </w14:textFill>
        </w:rPr>
        <w:t>信度分析法</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"https://baike.baidu.com/item/%CE%B1%E7%B3%BB%E6%95%B0" \t "https://baike.baidu.com/item/%E4%BF%A1%E5%BA%A6%E5%88%86%E6%9E%90/_blank" </w:instrTex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α系数</w: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评价的是量表中各题项得分间的一致性，属于内在</w: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"https://baike.baidu.com/item/%E4%B8%80%E8%87%B4%E6%80%A7/9840083" \t "https://baike.baidu.com/item/%E4%BF%A1%E5%BA%A6%E5%88%86%E6%9E%90/_blank" </w:instrTex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一致性</w: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系数</w:t>
      </w:r>
      <w:r>
        <w:rPr>
          <w:rFonts w:hint="eastAsia"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color w:val="000000" w:themeColor="text1"/>
          <w:sz w:val="24"/>
          <w:szCs w:val="24"/>
          <w14:textFill>
            <w14:solidFill>
              <w14:schemeClr w14:val="tx1"/>
            </w14:solidFill>
          </w14:textFill>
        </w:rPr>
        <w:t>内在信度高也就是克朗巴哈</w:t>
      </w:r>
      <w:r>
        <w:rPr>
          <w:color w:val="000000" w:themeColor="text1"/>
          <w:sz w:val="24"/>
          <w:szCs w:val="24"/>
          <w14:textFill>
            <w14:solidFill>
              <w14:schemeClr w14:val="tx1"/>
            </w14:solidFill>
          </w14:textFill>
        </w:rPr>
        <w:t>ɑ</w:t>
      </w:r>
      <w:r>
        <w:rPr>
          <w:rFonts w:hint="eastAsia"/>
          <w:color w:val="000000" w:themeColor="text1"/>
          <w:sz w:val="24"/>
          <w:szCs w:val="24"/>
          <w14:textFill>
            <w14:solidFill>
              <w14:schemeClr w14:val="tx1"/>
            </w14:solidFill>
          </w14:textFill>
        </w:rPr>
        <w:t>系数较高，意味着该量表评估指标的一致程度高，对应的评估指标有意义，所得的分析结果可信</w:t>
      </w:r>
      <w:r>
        <w:rPr>
          <w:rFonts w:hint="eastAsia"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总量表的信度系数最好在0.8以上，0.7-0.8之间可以接受；分量表的信度系数最好在0.7以上，0.6-0.7还可以接受。</w:t>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α</w:t>
      </w:r>
      <w:r>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系数如果在0.6以下就要考虑重新编</w: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"https://baike.baidu.com/item/%E9%97%AE%E5%8D%B7/2630930" \t "https://baike.baidu.com/item/%E4%BF%A1%E5%BA%A6%E5%88%86%E6%9E%90/_blank" </w:instrTex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8"/>
          <w:rFonts w:hint="default" w:ascii="Arial" w:hAnsi="Arial" w:eastAsia="宋体" w:cs="Arial"/>
          <w:i w:val="0"/>
          <w:iCs w:val="0"/>
          <w:caps w:val="0"/>
          <w:color w:val="000000" w:themeColor="text1"/>
          <w:spacing w:val="0"/>
          <w:sz w:val="24"/>
          <w:szCs w:val="24"/>
          <w:u w:val="none"/>
          <w:shd w:val="clear" w:fill="FFFFFF"/>
          <w14:textFill>
            <w14:solidFill>
              <w14:schemeClr w14:val="tx1"/>
            </w14:solidFill>
          </w14:textFill>
        </w:rPr>
        <w:t>问卷</w:t>
      </w:r>
      <w:r>
        <w:rPr>
          <w:rFonts w:hint="default" w:ascii="Arial" w:hAnsi="Arial" w:eastAsia="宋体" w:cs="Arial"/>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w:t>
      </w:r>
      <w:r>
        <w:rPr>
          <w:rFonts w:hint="eastAsia"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t>此次信度分析得到结果Alpha为0.729，系数值不高，但处于可以接受的范围。</w:t>
      </w:r>
      <w:bookmarkStart w:id="0" w:name="_GoBack"/>
      <w:bookmarkEnd w:id="0"/>
    </w:p>
    <w:p>
      <w:pPr>
        <w:spacing w:beforeLines="0" w:afterLines="0"/>
        <w:rPr>
          <w:rFonts w:hint="default"/>
          <w:sz w:val="24"/>
          <w:szCs w:val="24"/>
        </w:rPr>
      </w:pPr>
    </w:p>
    <w:tbl>
      <w:tblPr>
        <w:tblStyle w:val="5"/>
        <w:tblW w:w="49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886"/>
        <w:gridCol w:w="2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435" w:hRule="atLeast"/>
        </w:trPr>
        <w:tc>
          <w:tcPr>
            <w:tcW w:w="4900" w:type="dxa"/>
            <w:gridSpan w:val="2"/>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4"/>
                <w:szCs w:val="24"/>
              </w:rPr>
            </w:pPr>
            <w:r>
              <w:rPr>
                <w:rFonts w:hint="default"/>
                <w:b/>
                <w:color w:val="010205"/>
                <w:sz w:val="24"/>
                <w:szCs w:val="24"/>
              </w:rPr>
              <w:t>可靠性统计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35" w:hRule="atLeast"/>
        </w:trPr>
        <w:tc>
          <w:tcPr>
            <w:tcW w:w="2886"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24"/>
                <w:szCs w:val="24"/>
              </w:rPr>
            </w:pPr>
            <w:r>
              <w:rPr>
                <w:rFonts w:hint="default"/>
                <w:color w:val="264A60"/>
                <w:sz w:val="24"/>
                <w:szCs w:val="24"/>
              </w:rPr>
              <w:t>克隆巴赫 Alpha</w:t>
            </w:r>
          </w:p>
        </w:tc>
        <w:tc>
          <w:tcPr>
            <w:tcW w:w="2014"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24"/>
                <w:szCs w:val="24"/>
              </w:rPr>
            </w:pPr>
            <w:r>
              <w:rPr>
                <w:rFonts w:hint="default"/>
                <w:color w:val="264A60"/>
                <w:sz w:val="24"/>
                <w:szCs w:val="24"/>
              </w:rPr>
              <w:t>项数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Height w:val="489" w:hRule="atLeast"/>
        </w:trPr>
        <w:tc>
          <w:tcPr>
            <w:tcW w:w="2886" w:type="dxa"/>
            <w:tcBorders>
              <w:top w:val="single" w:color="152935"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.729</w:t>
            </w:r>
          </w:p>
        </w:tc>
        <w:tc>
          <w:tcPr>
            <w:tcW w:w="2014" w:type="dxa"/>
            <w:tcBorders>
              <w:top w:val="single" w:color="152935"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center"/>
              <w:rPr>
                <w:rFonts w:hint="default"/>
                <w:color w:val="010205"/>
                <w:sz w:val="24"/>
                <w:szCs w:val="24"/>
              </w:rPr>
            </w:pPr>
            <w:r>
              <w:rPr>
                <w:rFonts w:hint="default"/>
                <w:color w:val="010205"/>
                <w:sz w:val="24"/>
                <w:szCs w:val="24"/>
              </w:rPr>
              <w:t>11</w:t>
            </w:r>
          </w:p>
        </w:tc>
      </w:tr>
    </w:tbl>
    <w:p>
      <w:pPr>
        <w:spacing w:beforeLines="0" w:afterLines="0" w:line="400" w:lineRule="atLeast"/>
        <w:rPr>
          <w:rFonts w:hint="default" w:ascii="Times New Roman" w:hAnsi="Times New Roman" w:eastAsia="Times New Roman"/>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uto"/>
        <w:ind w:left="0" w:firstLine="420"/>
        <w:jc w:val="left"/>
        <w:textAlignment w:val="auto"/>
        <w:rPr>
          <w:rFonts w:hint="default" w:ascii="Arial" w:hAnsi="Arial" w:eastAsia="宋体" w:cs="Arial"/>
          <w:i w:val="0"/>
          <w:iCs w:val="0"/>
          <w:caps w:val="0"/>
          <w:color w:val="000000" w:themeColor="text1"/>
          <w:spacing w:val="0"/>
          <w:kern w:val="0"/>
          <w:sz w:val="24"/>
          <w:szCs w:val="24"/>
          <w:shd w:val="clear" w:fill="FFFFFF"/>
          <w:lang w:val="en-US" w:eastAsia="zh-CN" w:bidi="ar"/>
          <w14:textFill>
            <w14:solidFill>
              <w14:schemeClr w14:val="tx1"/>
            </w14:solidFill>
          </w14:textFill>
        </w:rPr>
      </w:pPr>
    </w:p>
    <w:p>
      <w:pPr>
        <w:spacing w:line="360" w:lineRule="auto"/>
        <w:ind w:firstLine="480" w:firstLineChars="200"/>
        <w:jc w:val="both"/>
        <w:rPr>
          <w:rFonts w:hint="default" w:ascii="Arial" w:hAnsi="Arial" w:eastAsia="宋体" w:cs="Arial"/>
          <w:i w:val="0"/>
          <w:iCs w:val="0"/>
          <w:caps w:val="0"/>
          <w:color w:val="000000" w:themeColor="text1"/>
          <w:spacing w:val="0"/>
          <w:sz w:val="24"/>
          <w:szCs w:val="24"/>
          <w:shd w:val="clear" w:fill="FFFFFF"/>
          <w:lang w:val="en-US" w:eastAsia="zh-CN"/>
          <w14:textFill>
            <w14:solidFill>
              <w14:schemeClr w14:val="tx1"/>
            </w14:solidFill>
          </w14:textFill>
        </w:rPr>
      </w:pPr>
    </w:p>
    <w:p>
      <w:pPr>
        <w:ind w:firstLine="480" w:firstLineChars="200"/>
        <w:rPr>
          <w:rFonts w:hint="eastAsia" w:ascii="宋体" w:hAnsi="宋体"/>
          <w:sz w:val="24"/>
          <w:szCs w:val="24"/>
        </w:rPr>
      </w:pPr>
    </w:p>
    <w:p>
      <w:pPr>
        <w:ind w:firstLine="480" w:firstLineChars="200"/>
        <w:rPr>
          <w:rFonts w:hint="eastAsia" w:ascii="宋体" w:hAnsi="宋体"/>
          <w:sz w:val="24"/>
          <w:szCs w:val="24"/>
        </w:rPr>
      </w:pPr>
    </w:p>
    <w:p>
      <w:pPr>
        <w:ind w:firstLine="480" w:firstLineChars="200"/>
        <w:rPr>
          <w:rFonts w:hint="eastAsia" w:ascii="宋体" w:hAnsi="宋体"/>
          <w:sz w:val="24"/>
          <w:szCs w:val="24"/>
        </w:rPr>
      </w:pPr>
    </w:p>
    <w:p>
      <w:pPr>
        <w:ind w:firstLine="480" w:firstLineChars="200"/>
        <w:rPr>
          <w:rFonts w:hint="eastAsia" w:ascii="宋体" w:hAnsi="宋体"/>
          <w:sz w:val="24"/>
          <w:szCs w:val="24"/>
        </w:rPr>
      </w:pPr>
    </w:p>
    <w:p>
      <w:pPr>
        <w:ind w:firstLine="480" w:firstLineChars="200"/>
        <w:rPr>
          <w:rFonts w:hint="default" w:ascii="宋体" w:hAnsi="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0E00EA"/>
    <w:multiLevelType w:val="singleLevel"/>
    <w:tmpl w:val="AB0E00EA"/>
    <w:lvl w:ilvl="0" w:tentative="0">
      <w:start w:val="5"/>
      <w:numFmt w:val="decimal"/>
      <w:lvlText w:val="%1."/>
      <w:lvlJc w:val="left"/>
      <w:pPr>
        <w:tabs>
          <w:tab w:val="left" w:pos="312"/>
        </w:tabs>
      </w:pPr>
    </w:lvl>
  </w:abstractNum>
  <w:abstractNum w:abstractNumId="1">
    <w:nsid w:val="795AD4A8"/>
    <w:multiLevelType w:val="singleLevel"/>
    <w:tmpl w:val="795AD4A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7741F11"/>
    <w:rsid w:val="5392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uiPriority="99" w:semiHidden="0" w:name="heading 2"/>
    <w:lsdException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unhideWhenUsed/>
    <w:uiPriority w:val="99"/>
    <w:pPr>
      <w:widowControl w:val="0"/>
      <w:autoSpaceDE w:val="0"/>
      <w:autoSpaceDN w:val="0"/>
      <w:adjustRightInd w:val="0"/>
      <w:spacing w:beforeLines="0" w:afterLines="0"/>
    </w:pPr>
    <w:rPr>
      <w:rFonts w:hint="default" w:ascii="MingLiU" w:hAnsi="MingLiU" w:eastAsia="MingLiU"/>
      <w:b/>
      <w:color w:val="000000"/>
      <w:sz w:val="32"/>
      <w:szCs w:val="24"/>
    </w:rPr>
  </w:style>
  <w:style w:type="paragraph" w:styleId="3">
    <w:name w:val="heading 2"/>
    <w:unhideWhenUsed/>
    <w:uiPriority w:val="99"/>
    <w:pPr>
      <w:widowControl w:val="0"/>
      <w:autoSpaceDE w:val="0"/>
      <w:autoSpaceDN w:val="0"/>
      <w:adjustRightInd w:val="0"/>
      <w:spacing w:beforeLines="0" w:afterLines="0"/>
    </w:pPr>
    <w:rPr>
      <w:rFonts w:hint="default" w:ascii="MingLiU" w:hAnsi="MingLiU" w:eastAsia="MingLiU"/>
      <w:b/>
      <w:i/>
      <w:color w:val="000000"/>
      <w:sz w:val="28"/>
      <w:szCs w:val="24"/>
    </w:rPr>
  </w:style>
  <w:style w:type="paragraph" w:styleId="4">
    <w:name w:val="heading 3"/>
    <w:unhideWhenUsed/>
    <w:uiPriority w:val="99"/>
    <w:pPr>
      <w:widowControl w:val="0"/>
      <w:autoSpaceDE w:val="0"/>
      <w:autoSpaceDN w:val="0"/>
      <w:adjustRightInd w:val="0"/>
      <w:spacing w:beforeLines="0" w:afterLines="0"/>
    </w:pPr>
    <w:rPr>
      <w:rFonts w:hint="default" w:ascii="MingLiU" w:hAnsi="MingLiU" w:eastAsia="MingLiU"/>
      <w:b/>
      <w:color w:val="000000"/>
      <w:sz w:val="26"/>
      <w:szCs w:val="2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2021-07-08T08:49:00Z</dcterms:created>
  <dc:creator>RidgeLu</dc:creator>
  <cp:lastModifiedBy>RidgeLu</cp:lastModifiedBy>
  <dcterms:modified xsi:type="dcterms:W3CDTF">2021-07-08T16:51:45Z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72A3708F65E1472B8D3E1DD9D11A431E</vt:lpwstr>
  </property>
</Properties>
</file>