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8.jpg" ContentType="image/jpeg"/>
  <Override PartName="/word/media/rId44.jpg" ContentType="image/jpeg"/>
  <Override PartName="/word/media/rId47.jpg" ContentType="image/jpeg"/>
  <Override PartName="/word/media/rId52.jpg" ContentType="image/jpeg"/>
  <Override PartName="/word/media/rId55.jpg" ContentType="image/jpeg"/>
  <Override PartName="/word/media/rId60.jpg" ContentType="image/jpeg"/>
  <Override PartName="/word/media/rId6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№4:</w:t>
      </w:r>
      <w:r>
        <w:t xml:space="preserve"> </w:t>
      </w:r>
      <w:r>
        <w:t xml:space="preserve">Математика</w:t>
      </w:r>
      <w:r>
        <w:t xml:space="preserve"> </w:t>
      </w:r>
      <w:r>
        <w:t xml:space="preserve">Mathematics</w:t>
      </w:r>
      <w:r>
        <w:t xml:space="preserve"> </w:t>
      </w:r>
      <w:r>
        <w:t xml:space="preserve">Typing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научному</w:t>
      </w:r>
      <w:r>
        <w:t xml:space="preserve"> </w:t>
      </w:r>
      <w:r>
        <w:t xml:space="preserve">письму</w:t>
      </w:r>
    </w:p>
    <w:p>
      <w:pPr>
        <w:pStyle w:val="Author"/>
      </w:pPr>
      <w:r>
        <w:t xml:space="preserve">ДАБВАН</w:t>
      </w:r>
      <w:r>
        <w:t xml:space="preserve"> </w:t>
      </w:r>
      <w:r>
        <w:t xml:space="preserve">ЛУАИ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вводная-часть"/>
    <w:p>
      <w:pPr>
        <w:pStyle w:val="Heading1"/>
      </w:pPr>
      <w:r>
        <w:t xml:space="preserve">Вводная часть</w:t>
      </w:r>
    </w:p>
    <w:bookmarkStart w:id="20" w:name="актуальность-темы"/>
    <w:p>
      <w:pPr>
        <w:pStyle w:val="Heading3"/>
      </w:pPr>
      <w:r>
        <w:t xml:space="preserve">Актуальность темы:</w:t>
      </w:r>
    </w:p>
    <w:p>
      <w:pPr>
        <w:pStyle w:val="FirstParagraph"/>
      </w:pPr>
      <w:r>
        <w:t xml:space="preserve">Использование изображений является важным элементом научных публикаций и презентаций. Пакет graphicx в LaTeX обеспечивает гибкое управление графикой, её масштабированием, обрезкой и позиционированием.</w:t>
      </w:r>
    </w:p>
    <w:bookmarkEnd w:id="20"/>
    <w:bookmarkStart w:id="21" w:name="объект-исследования"/>
    <w:p>
      <w:pPr>
        <w:pStyle w:val="Heading3"/>
      </w:pPr>
      <w:r>
        <w:t xml:space="preserve">Объект исследования:</w:t>
      </w:r>
    </w:p>
    <w:p>
      <w:pPr>
        <w:pStyle w:val="FirstParagraph"/>
      </w:pPr>
      <w:r>
        <w:t xml:space="preserve">Документы, подготовленные с использованием LaTeX.</w:t>
      </w:r>
    </w:p>
    <w:bookmarkEnd w:id="21"/>
    <w:bookmarkStart w:id="22" w:name="предмет-исследования"/>
    <w:p>
      <w:pPr>
        <w:pStyle w:val="Heading3"/>
      </w:pPr>
      <w:r>
        <w:t xml:space="preserve">Предмет исследования:</w:t>
      </w:r>
    </w:p>
    <w:p>
      <w:pPr>
        <w:pStyle w:val="FirstParagraph"/>
      </w:pPr>
      <w:r>
        <w:t xml:space="preserve">Методы включения и форматирования графических элементов в LaTeX.</w:t>
      </w:r>
    </w:p>
    <w:bookmarkEnd w:id="22"/>
    <w:bookmarkStart w:id="23" w:name="научная-новизна"/>
    <w:p>
      <w:pPr>
        <w:pStyle w:val="Heading3"/>
      </w:pPr>
      <w:r>
        <w:t xml:space="preserve">Научная новизна:</w:t>
      </w:r>
    </w:p>
    <w:p>
      <w:pPr>
        <w:pStyle w:val="FirstParagraph"/>
      </w:pPr>
      <w:r>
        <w:t xml:space="preserve">Систематизация способов управления графическими элементами и анализ возможностей пакета graphicx в контексте научной работы.</w:t>
      </w:r>
    </w:p>
    <w:bookmarkEnd w:id="23"/>
    <w:bookmarkStart w:id="24" w:name="практическая-значимость"/>
    <w:p>
      <w:pPr>
        <w:pStyle w:val="Heading3"/>
      </w:pPr>
      <w:r>
        <w:t xml:space="preserve">Практическая значимость:</w:t>
      </w:r>
    </w:p>
    <w:p>
      <w:pPr>
        <w:pStyle w:val="FirstParagraph"/>
      </w:pPr>
      <w:r>
        <w:t xml:space="preserve">Позволяет создавать профессионально оформленные отчёты, статьи и диссертации с корректным размещением изображений.</w:t>
      </w:r>
    </w:p>
    <w:bookmarkEnd w:id="24"/>
    <w:bookmarkEnd w:id="25"/>
    <w:bookmarkStart w:id="30" w:name="цель-работы-задачи-и-гипотеза"/>
    <w:p>
      <w:pPr>
        <w:pStyle w:val="Heading1"/>
      </w:pPr>
      <w:r>
        <w:t xml:space="preserve">Цель работы , задачи и гипотеза</w:t>
      </w:r>
    </w:p>
    <w:bookmarkStart w:id="26" w:name="цель-исследования"/>
    <w:p>
      <w:pPr>
        <w:pStyle w:val="Heading2"/>
      </w:pPr>
      <w:r>
        <w:t xml:space="preserve">Цель исследования:</w:t>
      </w:r>
    </w:p>
    <w:p>
      <w:pPr>
        <w:pStyle w:val="FirstParagraph"/>
      </w:pPr>
      <w:r>
        <w:t xml:space="preserve">Изучить методы вставки изображений в LaTeX с помощью пакета graphicx</w:t>
      </w:r>
    </w:p>
    <w:bookmarkEnd w:id="26"/>
    <w:bookmarkStart w:id="27" w:name="гипотеза"/>
    <w:p>
      <w:pPr>
        <w:pStyle w:val="Heading2"/>
      </w:pPr>
      <w:r>
        <w:t xml:space="preserve">Гипотеза:</w:t>
      </w:r>
    </w:p>
    <w:p>
      <w:pPr>
        <w:pStyle w:val="FirstParagraph"/>
      </w:pPr>
      <w:r>
        <w:t xml:space="preserve">Использование команд LaTeX для вставки изображений позволяет добиться профессионального качества оформления научных документов.</w:t>
      </w:r>
    </w:p>
    <w:bookmarkEnd w:id="27"/>
    <w:bookmarkStart w:id="28" w:name="задачи-исследования"/>
    <w:p>
      <w:pPr>
        <w:pStyle w:val="Heading2"/>
      </w:pPr>
      <w:r>
        <w:t xml:space="preserve">Задачи исследования:</w:t>
      </w:r>
    </w:p>
    <w:p>
      <w:pPr>
        <w:numPr>
          <w:ilvl w:val="0"/>
          <w:numId w:val="1001"/>
        </w:numPr>
      </w:pPr>
      <w:r>
        <w:t xml:space="preserve">Ознакомиться с основными командами \includegraphics и параметрами (width, height, scale, angle).</w:t>
      </w:r>
    </w:p>
    <w:p>
      <w:pPr>
        <w:numPr>
          <w:ilvl w:val="0"/>
          <w:numId w:val="1001"/>
        </w:numPr>
      </w:pPr>
      <w:r>
        <w:t xml:space="preserve">Изучить способы позиционирования изображений с помощью среды figure.</w:t>
      </w:r>
    </w:p>
    <w:p>
      <w:pPr>
        <w:numPr>
          <w:ilvl w:val="0"/>
          <w:numId w:val="1001"/>
        </w:numPr>
      </w:pPr>
      <w:r>
        <w:t xml:space="preserve">Рассмотреть методы обрезки и масштабирования графики.</w:t>
      </w:r>
    </w:p>
    <w:p>
      <w:pPr>
        <w:numPr>
          <w:ilvl w:val="0"/>
          <w:numId w:val="1001"/>
        </w:numPr>
      </w:pPr>
      <w:r>
        <w:t xml:space="preserve">Освоить кросс-ссылки на рисунки и автоматическую нумерацию.</w:t>
      </w:r>
    </w:p>
    <w:p>
      <w:pPr>
        <w:numPr>
          <w:ilvl w:val="0"/>
          <w:numId w:val="1001"/>
        </w:numPr>
      </w:pPr>
      <w:r>
        <w:t xml:space="preserve">Выполнить упражнение 4.9 из практического руководства</w:t>
      </w:r>
    </w:p>
    <w:bookmarkEnd w:id="28"/>
    <w:bookmarkStart w:id="29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2"/>
        </w:numPr>
      </w:pPr>
      <w:r>
        <w:t xml:space="preserve">Пакет: graphicx</w:t>
      </w:r>
    </w:p>
    <w:p>
      <w:pPr>
        <w:numPr>
          <w:ilvl w:val="0"/>
          <w:numId w:val="1002"/>
        </w:numPr>
      </w:pPr>
      <w:r>
        <w:t xml:space="preserve">Среда: figure</w:t>
      </w:r>
    </w:p>
    <w:p>
      <w:pPr>
        <w:numPr>
          <w:ilvl w:val="0"/>
          <w:numId w:val="1002"/>
        </w:numPr>
      </w:pPr>
      <w:r>
        <w:t xml:space="preserve">Дополнительные инструменты: float, trivfloat, hyperref</w:t>
      </w:r>
    </w:p>
    <w:p>
      <w:pPr>
        <w:numPr>
          <w:ilvl w:val="0"/>
          <w:numId w:val="1002"/>
        </w:numPr>
      </w:pPr>
      <w:r>
        <w:t xml:space="preserve">Теоретическая база: раздел 4 книги Practical Scientific Writing</w:t>
      </w:r>
    </w:p>
    <w:bookmarkEnd w:id="29"/>
    <w:bookmarkEnd w:id="30"/>
    <w:bookmarkStart w:id="70" w:name="содержание-исследования"/>
    <w:p>
      <w:pPr>
        <w:pStyle w:val="Heading1"/>
      </w:pPr>
      <w:r>
        <w:t xml:space="preserve">Содержание исследования</w:t>
      </w:r>
    </w:p>
    <w:bookmarkStart w:id="31" w:name="X36556354ec198873f9f5a86035feef331648c86"/>
    <w:p>
      <w:pPr>
        <w:pStyle w:val="Heading2"/>
      </w:pPr>
      <w:r>
        <w:t xml:space="preserve">1.Предлагаемое решение задач исследования с обоснованием</w:t>
      </w:r>
    </w:p>
    <w:p>
      <w:pPr>
        <w:pStyle w:val="FirstParagraph"/>
      </w:pPr>
      <w:r>
        <w:t xml:space="preserve">Для решения поставленных задач исследования была выбрана система вёрстки LaTeX и пакет graphicx, предоставляющий широкий набор инструментов для работы с графикой.</w:t>
      </w:r>
      <w:r>
        <w:t xml:space="preserve"> </w:t>
      </w:r>
      <w:r>
        <w:t xml:space="preserve">Основная идея заключалась в интеграции графических элементов в научный текст без потери качества изображения и с сохранением логической структуры документа.</w:t>
      </w:r>
    </w:p>
    <w:p>
      <w:pPr>
        <w:pStyle w:val="BodyText"/>
      </w:pPr>
      <w:r>
        <w:t xml:space="preserve">Использование пакета graphicx позволяет:</w:t>
      </w:r>
    </w:p>
    <w:p>
      <w:pPr>
        <w:numPr>
          <w:ilvl w:val="0"/>
          <w:numId w:val="1003"/>
        </w:numPr>
      </w:pPr>
      <w:r>
        <w:t xml:space="preserve">вставлять изображения различных форматов (PDF, PNG, JPG, EPS);</w:t>
      </w:r>
    </w:p>
    <w:p>
      <w:pPr>
        <w:numPr>
          <w:ilvl w:val="0"/>
          <w:numId w:val="1003"/>
        </w:numPr>
      </w:pPr>
      <w:r>
        <w:t xml:space="preserve">управлять их размерами, масштабом и ориентацией при помощи параметров width, height, scale, angle;</w:t>
      </w:r>
    </w:p>
    <w:p>
      <w:pPr>
        <w:numPr>
          <w:ilvl w:val="0"/>
          <w:numId w:val="1003"/>
        </w:numPr>
      </w:pPr>
      <w:r>
        <w:t xml:space="preserve">размещать изображения в виде «плавающих объектов» с подписями и нумерацией (figure);</w:t>
      </w:r>
    </w:p>
    <w:p>
      <w:pPr>
        <w:numPr>
          <w:ilvl w:val="0"/>
          <w:numId w:val="1003"/>
        </w:numPr>
      </w:pPr>
      <w:r>
        <w:t xml:space="preserve">создавать перекрёстные ссылки (</w:t>
      </w:r>
      <w:r>
        <w:t xml:space="preserve">и</w:t>
      </w:r>
      <w:r>
        <w:t xml:space="preserve"> </w:t>
      </w:r>
      <w:r>
        <w:t xml:space="preserve">), что обеспечивает автоматическую нумерацию и удобную навигацию по документу.</w:t>
      </w:r>
    </w:p>
    <w:p>
      <w:pPr>
        <w:pStyle w:val="FirstParagraph"/>
      </w:pPr>
      <w:r>
        <w:t xml:space="preserve">Обоснование выбора данного подхода связано с его гибкостью, универсальностью и соответствием академическим стандартам оформления научных публикаций.</w:t>
      </w:r>
    </w:p>
    <w:bookmarkEnd w:id="31"/>
    <w:bookmarkStart w:id="69" w:name="основные-этапы-работы"/>
    <w:p>
      <w:pPr>
        <w:pStyle w:val="Heading2"/>
      </w:pPr>
      <w:r>
        <w:t xml:space="preserve">2.Основные этапы работы</w:t>
      </w:r>
    </w:p>
    <w:bookmarkStart w:id="32" w:name="Xbe9e3c714e50c3887aa0ee70a7b2592a2294f56"/>
    <w:p>
      <w:pPr>
        <w:pStyle w:val="Heading3"/>
      </w:pPr>
      <w:r>
        <w:t xml:space="preserve">пражнение 1. Вставить собственное изображение.</w:t>
      </w:r>
    </w:p>
    <w:p>
      <w:pPr>
        <w:pStyle w:val="SourceCode"/>
      </w:pPr>
      <w:r>
        <w:rPr>
          <w:rStyle w:val="KeywordTok"/>
        </w:rPr>
        <w:t xml:space="preserve">\section*</w:t>
      </w:r>
      <w:r>
        <w:rPr>
          <w:rStyle w:val="NormalTok"/>
        </w:rPr>
        <w:t xml:space="preserve">{Упражнение 1: Включение изображений}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}[H]</w:t>
      </w:r>
      <w:r>
        <w:br/>
      </w:r>
      <w:r>
        <w:rPr>
          <w:rStyle w:val="FunctionTok"/>
        </w:rPr>
        <w:t xml:space="preserve">\centering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[width=0.3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{Мое изображение}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fig:myimage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</w:p>
    <w:bookmarkEnd w:id="32"/>
    <w:bookmarkStart w:id="36" w:name="результат"/>
    <w:p>
      <w:pPr>
        <w:pStyle w:val="Heading3"/>
      </w:pPr>
      <w:r>
        <w:t xml:space="preserve">Результат:</w:t>
      </w:r>
    </w:p>
    <w:p>
      <w:pPr>
        <w:pStyle w:val="FirstParagraph"/>
      </w:pPr>
      <w:r>
        <w:drawing>
          <wp:inline>
            <wp:extent cx="3733800" cy="165602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image/image_0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X2e1463135a47b0d19a9e76ef957abf50dd41428"/>
    <w:p>
      <w:pPr>
        <w:pStyle w:val="Heading3"/>
      </w:pPr>
      <w:r>
        <w:t xml:space="preserve">Упражнение 2. Использование параметров height, width, angle, scale</w:t>
      </w:r>
    </w:p>
    <w:p>
      <w:pPr>
        <w:pStyle w:val="FirstParagraph"/>
      </w:pPr>
      <w:r>
        <w:t xml:space="preserve">мы изучили влияние параметров изменения размера и угла поворота изображения.</w:t>
      </w:r>
    </w:p>
    <w:p>
      <w:pPr>
        <w:pStyle w:val="SourceCode"/>
      </w:pPr>
      <w:r>
        <w:rPr>
          <w:rStyle w:val="KeywordTok"/>
        </w:rPr>
        <w:t xml:space="preserve">\section*</w:t>
      </w:r>
      <w:r>
        <w:rPr>
          <w:rStyle w:val="NormalTok"/>
        </w:rPr>
        <w:t xml:space="preserve">{Упражнение 2: Параметры изображений}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[height=2cm]{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[width=0.2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[scale=0.6]{</w:t>
      </w:r>
      <w:r>
        <w:rPr>
          <w:rStyle w:val="ExtensionTok"/>
        </w:rPr>
        <w:t xml:space="preserve">example-image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[angle=45, width=0.15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center</w:t>
      </w:r>
      <w:r>
        <w:rPr>
          <w:rStyle w:val="NormalTok"/>
        </w:rPr>
        <w:t xml:space="preserve">}</w:t>
      </w:r>
    </w:p>
    <w:bookmarkEnd w:id="37"/>
    <w:bookmarkStart w:id="41" w:name="результат-1"/>
    <w:p>
      <w:pPr>
        <w:pStyle w:val="Heading3"/>
      </w:pPr>
      <w:r>
        <w:t xml:space="preserve">Результат:</w:t>
      </w:r>
    </w:p>
    <w:p>
      <w:pPr>
        <w:pStyle w:val="FirstParagraph"/>
      </w:pPr>
      <w:r>
        <w:drawing>
          <wp:inline>
            <wp:extent cx="3733800" cy="2735323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/image_0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X9dd9aa05ff0d5d86ff839593dc87e3c99025da3"/>
    <w:p>
      <w:pPr>
        <w:pStyle w:val="Heading3"/>
      </w:pPr>
      <w:r>
        <w:t xml:space="preserve">Упражнение 3. Сравнение</w:t>
      </w:r>
      <w:r>
        <w:t xml:space="preserve"> </w:t>
      </w:r>
      <w:r>
        <w:rPr>
          <w:rStyle w:val="VerbatimChar"/>
        </w:rPr>
        <w:t xml:space="preserve">latex   \textwidth и \linewidth</w:t>
      </w:r>
      <w:r>
        <w:t xml:space="preserve"> </w:t>
      </w:r>
      <w:r>
        <w:t xml:space="preserve">с опцией twocolumn</w:t>
      </w:r>
    </w:p>
    <w:p>
      <w:pPr>
        <w:pStyle w:val="FirstParagraph"/>
      </w:pPr>
      <w:r>
        <w:rPr>
          <w:rStyle w:val="VerbatimChar"/>
        </w:rPr>
        <w:t xml:space="preserve">Использовать ключ width для задания размеров двух изображений — одно относительно \textwidth, другое относительно \linewidth. Затем проверить, как они ведут себя в обычном режиме  и при включении параметра twocolumn.</w:t>
      </w:r>
    </w:p>
    <w:p>
      <w:pPr>
        <w:pStyle w:val="SourceCode"/>
      </w:pPr>
      <w:r>
        <w:rPr>
          <w:rStyle w:val="FunctionTok"/>
        </w:rPr>
        <w:t xml:space="preserve">\clearpage</w:t>
      </w:r>
      <w:r>
        <w:br/>
      </w:r>
      <w:r>
        <w:rPr>
          <w:rStyle w:val="FunctionTok"/>
        </w:rPr>
        <w:t xml:space="preserve">\twocolumn</w:t>
      </w:r>
      <w:r>
        <w:br/>
      </w:r>
      <w:r>
        <w:br/>
      </w:r>
      <w:r>
        <w:rPr>
          <w:rStyle w:val="KeywordTok"/>
        </w:rPr>
        <w:t xml:space="preserve">\section*</w:t>
      </w:r>
      <w:r>
        <w:rPr>
          <w:rStyle w:val="NormalTok"/>
        </w:rPr>
        <w:t xml:space="preserve">{Упражнение 3: Сравнение </w:t>
      </w:r>
      <w:r>
        <w:rPr>
          <w:rStyle w:val="FunctionTok"/>
        </w:rPr>
        <w:t xml:space="preserve">\textbackslash</w:t>
      </w:r>
      <w:r>
        <w:rPr>
          <w:rStyle w:val="NormalTok"/>
        </w:rPr>
        <w:t xml:space="preserve"> textwidth и </w:t>
      </w:r>
      <w:r>
        <w:rPr>
          <w:rStyle w:val="FunctionTok"/>
        </w:rPr>
        <w:t xml:space="preserve">\textbackslash</w:t>
      </w:r>
      <w:r>
        <w:rPr>
          <w:rStyle w:val="NormalTok"/>
        </w:rPr>
        <w:t xml:space="preserve"> linewidth}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}[h!]</w:t>
      </w:r>
      <w:r>
        <w:br/>
      </w:r>
      <w:r>
        <w:rPr>
          <w:rStyle w:val="FunctionTok"/>
        </w:rPr>
        <w:t xml:space="preserve">\centering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[width=0.8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[width=0.8</w:t>
      </w:r>
      <w:r>
        <w:rPr>
          <w:rStyle w:val="FunctionTok"/>
        </w:rPr>
        <w:t xml:space="preserve">\linewidth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</w:p>
    <w:bookmarkEnd w:id="42"/>
    <w:bookmarkStart w:id="43" w:name="Xa7e1d5da05638885d62d7ac2443e6d1ead37c7a"/>
    <w:p>
      <w:pPr>
        <w:pStyle w:val="Heading3"/>
      </w:pPr>
      <w:r>
        <w:t xml:space="preserve">Упражнение 3. Сравнение</w:t>
      </w:r>
      <w:r>
        <w:t xml:space="preserve"> </w:t>
      </w:r>
      <w:r>
        <w:rPr>
          <w:rStyle w:val="VerbatimChar"/>
        </w:rPr>
        <w:t xml:space="preserve">latex   \textwidth и \linewidth</w:t>
      </w:r>
      <w:r>
        <w:t xml:space="preserve"> </w:t>
      </w:r>
      <w:r>
        <w:t xml:space="preserve">с опцией twocolumn</w:t>
      </w:r>
    </w:p>
    <w:p>
      <w:pPr>
        <w:pStyle w:val="SourceCode"/>
      </w:pPr>
      <w:r>
        <w:rPr>
          <w:rStyle w:val="FunctionTok"/>
        </w:rPr>
        <w:t xml:space="preserve">\caption</w:t>
      </w:r>
      <w:r>
        <w:rPr>
          <w:rStyle w:val="NormalTok"/>
        </w:rPr>
        <w:t xml:space="preserve">{Сравнение textwidth и linewidth в режиме двух колонок}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\onecolumn</w:t>
      </w:r>
      <w:r>
        <w:br/>
      </w:r>
      <w:r>
        <w:rPr>
          <w:rStyle w:val="FunctionTok"/>
        </w:rPr>
        <w:t xml:space="preserve">\clearpage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}[h!]</w:t>
      </w:r>
      <w:r>
        <w:br/>
      </w:r>
      <w:r>
        <w:rPr>
          <w:rStyle w:val="FunctionTok"/>
        </w:rPr>
        <w:t xml:space="preserve">\centering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[width=0.8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[width=0.8</w:t>
      </w:r>
      <w:r>
        <w:rPr>
          <w:rStyle w:val="FunctionTok"/>
        </w:rPr>
        <w:t xml:space="preserve">\linewidth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{В одноколоночном режиме}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</w:p>
    <w:bookmarkEnd w:id="43"/>
    <w:bookmarkStart w:id="50" w:name="результат-2"/>
    <w:p>
      <w:pPr>
        <w:pStyle w:val="Heading3"/>
      </w:pPr>
      <w:r>
        <w:t xml:space="preserve">Результат:</w:t>
      </w:r>
    </w:p>
    <w:p>
      <w:pPr>
        <w:pStyle w:val="FirstParagraph"/>
      </w:pPr>
      <w:r>
        <w:drawing>
          <wp:inline>
            <wp:extent cx="2133600" cy="1996906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/image_03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9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33600" cy="224229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/image/image_04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4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]</w:t>
      </w:r>
    </w:p>
    <w:bookmarkEnd w:id="50"/>
    <w:bookmarkStart w:id="51" w:name="X018016f2fc5d6f5aea1d7924e7bd64179aac883"/>
    <w:p>
      <w:pPr>
        <w:pStyle w:val="Heading3"/>
      </w:pPr>
      <w:r>
        <w:t xml:space="preserve">Упражнение 4. Использование lipsum и размещение плавающих объектов</w:t>
      </w:r>
    </w:p>
    <w:p>
      <w:pPr>
        <w:pStyle w:val="FirstParagraph"/>
      </w:pPr>
      <w:r>
        <w:t xml:space="preserve">мы создаали длинный текст с помощью пакета lipsum и протестировать размещение изображений с разными позиционными параметрами [h], [t], [b], [p].</w:t>
      </w:r>
    </w:p>
    <w:p>
      <w:pPr>
        <w:pStyle w:val="SourceCode"/>
      </w:pPr>
      <w:r>
        <w:rPr>
          <w:rStyle w:val="KeywordTok"/>
        </w:rPr>
        <w:t xml:space="preserve">\section*</w:t>
      </w:r>
      <w:r>
        <w:rPr>
          <w:rStyle w:val="NormalTok"/>
        </w:rPr>
        <w:t xml:space="preserve">{Упражнение 4: Работа с плавающими объектами}</w:t>
      </w:r>
      <w:r>
        <w:br/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[1-2]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}[H]</w:t>
      </w:r>
      <w:r>
        <w:br/>
      </w:r>
      <w:r>
        <w:rPr>
          <w:rStyle w:val="FunctionTok"/>
        </w:rPr>
        <w:t xml:space="preserve">\centering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[width=0.3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{Рисунок с [H] - точно здесь}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fig:here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[3]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}[H]</w:t>
      </w:r>
      <w:r>
        <w:br/>
      </w:r>
      <w:r>
        <w:rPr>
          <w:rStyle w:val="FunctionTok"/>
        </w:rPr>
        <w:t xml:space="preserve">\centering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[width=0.3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{Рисунок в текущем месте}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fig:current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[4]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}[t]</w:t>
      </w:r>
      <w:r>
        <w:br/>
      </w:r>
      <w:r>
        <w:rPr>
          <w:rStyle w:val="FunctionTok"/>
        </w:rPr>
        <w:t xml:space="preserve">\centering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{Рисунок с [t] - верх страницы}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fig:top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}[b]</w:t>
      </w:r>
      <w:r>
        <w:br/>
      </w:r>
      <w:r>
        <w:rPr>
          <w:rStyle w:val="FunctionTok"/>
        </w:rPr>
        <w:t xml:space="preserve">\centering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image.jpg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{Рисунок с [b] - низ страницы}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fig:bottom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</w:p>
    <w:bookmarkEnd w:id="51"/>
    <w:bookmarkStart w:id="58" w:name="результат-3"/>
    <w:p>
      <w:pPr>
        <w:pStyle w:val="Heading3"/>
      </w:pPr>
      <w:r>
        <w:t xml:space="preserve">Результат:</w:t>
      </w:r>
    </w:p>
    <w:p>
      <w:pPr>
        <w:pStyle w:val="FirstParagraph"/>
      </w:pPr>
      <w:r>
        <w:drawing>
          <wp:inline>
            <wp:extent cx="2667000" cy="340457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./image/image_05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0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667000" cy="2603348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./image/image_06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03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X0f5437277de79d73dbf0d33aef28befb56f369b"/>
    <w:p>
      <w:pPr>
        <w:pStyle w:val="Heading3"/>
      </w:pPr>
      <w:r>
        <w:t xml:space="preserve">Упражнение 5. Добавление нумерованных разделов и проверка количества прогонов LaTeX</w:t>
      </w:r>
    </w:p>
    <w:p>
      <w:pPr>
        <w:pStyle w:val="FirstParagraph"/>
      </w:pPr>
      <w:r>
        <w:t xml:space="preserve">мы добавили в тестовый документ новые нумерованные элементы — разделы (\section), подразделы (\subsection) и нумерованные списки (enumerate) — и определить, сколько компиляций (runs) LaTeX требуется для корректного обновления всех ссылок, создаваемых с помощью команды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\section*</w:t>
      </w:r>
      <w:r>
        <w:rPr>
          <w:rStyle w:val="NormalTok"/>
        </w:rPr>
        <w:t xml:space="preserve">{Упражнение 5: Перекрестные ссылки}</w:t>
      </w:r>
      <w:r>
        <w:br/>
      </w:r>
      <w:r>
        <w:br/>
      </w:r>
      <w:r>
        <w:rPr>
          <w:rStyle w:val="KeywordTok"/>
        </w:rPr>
        <w:t xml:space="preserve">\section</w:t>
      </w:r>
      <w:r>
        <w:rPr>
          <w:rStyle w:val="NormalTok"/>
        </w:rPr>
        <w:t xml:space="preserve">{Введение}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sec:intro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Это раздел введения. Мы будем ссылаться на него позже.</w:t>
      </w:r>
      <w:r>
        <w:br/>
      </w:r>
      <w:r>
        <w:br/>
      </w:r>
      <w:r>
        <w:rPr>
          <w:rStyle w:val="KeywordTok"/>
        </w:rPr>
        <w:t xml:space="preserve">\subsection</w:t>
      </w:r>
      <w:r>
        <w:rPr>
          <w:rStyle w:val="NormalTok"/>
        </w:rPr>
        <w:t xml:space="preserve">{Теоретическая основа}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subsec:background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Этот подраздел обсуждает теоретическую основу.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enumerate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item:first</w:t>
      </w:r>
      <w:r>
        <w:rPr>
          <w:rStyle w:val="NormalTok"/>
        </w:rPr>
        <w:t xml:space="preserve">} Первый важный пункт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item:second</w:t>
      </w:r>
      <w:r>
        <w:rPr>
          <w:rStyle w:val="NormalTok"/>
        </w:rPr>
        <w:t xml:space="preserve">} Второй важный пункт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item:third</w:t>
      </w:r>
      <w:r>
        <w:rPr>
          <w:rStyle w:val="NormalTok"/>
        </w:rPr>
        <w:t xml:space="preserve">} Третий важный пункт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enumerate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{eq:simple}</w:t>
      </w:r>
      <w:r>
        <w:br/>
      </w:r>
      <w:r>
        <w:rPr>
          <w:rStyle w:val="SpecialStringTok"/>
        </w:rPr>
        <w:t xml:space="preserve">E = mc^2</w:t>
      </w:r>
      <w:r>
        <w:br/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Теперь мы можем ссылаться на различные элементы: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itemize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Раздел: 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sec:intro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Подраздел: 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subsec:background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Первый пункт: 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item:first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Уравнение: 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eq:simple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Рисунок 1: 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fig:myimage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\item</w:t>
      </w:r>
      <w:r>
        <w:rPr>
          <w:rStyle w:val="NormalTok"/>
        </w:rPr>
        <w:t xml:space="preserve"> Рисунок 3: 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fig:linewidth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itemize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Как обсуждалось в разделе~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sec:intro</w:t>
      </w:r>
      <w:r>
        <w:rPr>
          <w:rStyle w:val="NormalTok"/>
        </w:rPr>
        <w:t xml:space="preserve">}, особенно в пункте~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item:first</w:t>
      </w:r>
      <w:r>
        <w:rPr>
          <w:rStyle w:val="NormalTok"/>
        </w:rPr>
        <w:t xml:space="preserve">}, мы видим из уравнения~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eq:simple</w:t>
      </w:r>
      <w:r>
        <w:rPr>
          <w:rStyle w:val="NormalTok"/>
        </w:rPr>
        <w:t xml:space="preserve">} что...</w:t>
      </w:r>
    </w:p>
    <w:bookmarkEnd w:id="59"/>
    <w:bookmarkStart w:id="63" w:name="результат-4"/>
    <w:p>
      <w:pPr>
        <w:pStyle w:val="Heading3"/>
      </w:pPr>
      <w:r>
        <w:t xml:space="preserve">Результат:</w:t>
      </w:r>
    </w:p>
    <w:p>
      <w:pPr>
        <w:pStyle w:val="FirstParagraph"/>
      </w:pPr>
      <w:r>
        <w:drawing>
          <wp:inline>
            <wp:extent cx="3733800" cy="315350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/image_07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X2f91915e07ac64a8f6d5dac78e6ceab45cad149"/>
    <w:p>
      <w:pPr>
        <w:pStyle w:val="Heading3"/>
      </w:pPr>
      <w:r>
        <w:t xml:space="preserve">Упражнение 6. Проверка работы</w:t>
      </w:r>
      <w:r>
        <w:t xml:space="preserve"> </w:t>
      </w:r>
      <w:r>
        <w:t xml:space="preserve">после \end{equation}</w:t>
      </w:r>
    </w:p>
    <w:p>
      <w:pPr>
        <w:pStyle w:val="FirstParagraph"/>
      </w:pPr>
      <w:r>
        <w:t xml:space="preserve">мы проверили, что произойдёт, если команду</w:t>
      </w:r>
      <w:r>
        <w:t xml:space="preserve"> </w:t>
      </w:r>
      <w:r>
        <w:t xml:space="preserve">поставить после \end{equation}.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E = mc^2</w:t>
      </w:r>
      <w:r>
        <w:br/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{eq:energy}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}S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E = mc^2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eq:energy</w:t>
      </w:r>
      <w:r>
        <w:rPr>
          <w:rStyle w:val="NormalTok"/>
        </w:rPr>
        <w:t xml:space="preserve">}</w:t>
      </w:r>
    </w:p>
    <w:bookmarkEnd w:id="64"/>
    <w:bookmarkStart w:id="68" w:name="результат-5"/>
    <w:p>
      <w:pPr>
        <w:pStyle w:val="Heading3"/>
      </w:pPr>
      <w:r>
        <w:t xml:space="preserve">Результат:</w:t>
      </w:r>
    </w:p>
    <w:p>
      <w:pPr>
        <w:pStyle w:val="FirstParagraph"/>
      </w:pPr>
      <w:r>
        <w:drawing>
          <wp:inline>
            <wp:extent cx="4267200" cy="992489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/image_08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9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End w:id="69"/>
    <w:bookmarkEnd w:id="70"/>
    <w:bookmarkStart w:id="73" w:name="Xe671aebeee040b930258adad1ee8ca586b010a1"/>
    <w:p>
      <w:pPr>
        <w:pStyle w:val="Heading1"/>
      </w:pPr>
      <w:r>
        <w:t xml:space="preserve">Анализ и практическая значимость достигнутых результатов</w:t>
      </w:r>
    </w:p>
    <w:p>
      <w:pPr>
        <w:pStyle w:val="FirstParagraph"/>
      </w:pPr>
      <w:r>
        <w:t xml:space="preserve">В ходе выполнения практической работы по теме «Including Graphics» были проведены серии упражнений, направленных на изучение инструментов LaTeX для работы с графикой, нумерацией и перекрёстными ссылками.</w:t>
      </w:r>
    </w:p>
    <w:bookmarkStart w:id="71" w:name="X9c2dda9616e218f820e8c5a434769d368c9e7a2"/>
    <w:p>
      <w:pPr>
        <w:pStyle w:val="Heading2"/>
      </w:pPr>
      <w:r>
        <w:t xml:space="preserve">Анализ полученных результатов показывает следующее:</w:t>
      </w:r>
    </w:p>
    <w:p>
      <w:pPr>
        <w:pStyle w:val="FirstParagraph"/>
      </w:pPr>
      <w:r>
        <w:t xml:space="preserve">Гибкость системы.</w:t>
      </w:r>
      <w:r>
        <w:t xml:space="preserve"> </w:t>
      </w:r>
      <w:r>
        <w:t xml:space="preserve">Пакет graphicx обеспечивает широкие возможности управления изображениями — масштабирование, вращение, обрезку и позиционирование без потери качества.</w:t>
      </w:r>
    </w:p>
    <w:p>
      <w:pPr>
        <w:pStyle w:val="BodyText"/>
      </w:pPr>
      <w:r>
        <w:t xml:space="preserve">Точность позиционирования.</w:t>
      </w:r>
      <w:r>
        <w:t xml:space="preserve"> </w:t>
      </w:r>
      <w:r>
        <w:t xml:space="preserve">Использование параметров</w:t>
      </w:r>
      <w:r>
        <w:t xml:space="preserve"> </w:t>
      </w:r>
      <w:r>
        <w:rPr>
          <w:rStyle w:val="VerbatimChar"/>
        </w:rPr>
        <w:t xml:space="preserve">\textwidth и \linewidth</w:t>
      </w:r>
      <w:r>
        <w:t xml:space="preserve"> </w:t>
      </w:r>
      <w:r>
        <w:t xml:space="preserve">демонстрирует разницу в поведении графических объектов в одно- и двухколоночных макетах, что имеет практическое значение при подготовке статей и отчётов в формате журнала.</w:t>
      </w:r>
    </w:p>
    <w:p>
      <w:pPr>
        <w:pStyle w:val="BodyText"/>
      </w:pPr>
      <w:r>
        <w:t xml:space="preserve">Контроль плавающих объектов.</w:t>
      </w:r>
      <w:r>
        <w:t xml:space="preserve"> </w:t>
      </w:r>
      <w:r>
        <w:t xml:space="preserve">Изучение модификаторов [h], [t], [b], [H] показало, что LaTeX способен автоматически размещать графику оптимальным образом, сохраняя читаемость текста.</w:t>
      </w:r>
    </w:p>
    <w:p>
      <w:pPr>
        <w:pStyle w:val="BodyText"/>
      </w:pPr>
      <w:r>
        <w:t xml:space="preserve">Система перекрёстных ссылок.</w:t>
      </w:r>
      <w:r>
        <w:t xml:space="preserve"> </w:t>
      </w:r>
      <w:r>
        <w:t xml:space="preserve">Анализ показал, что для корректной работы</w:t>
      </w:r>
      <w:r>
        <w:t xml:space="preserve"> </w:t>
      </w:r>
      <w:r>
        <w:t xml:space="preserve">и</w:t>
      </w:r>
      <w:r>
        <w:t xml:space="preserve"> </w:t>
      </w:r>
      <w:r>
        <w:t xml:space="preserve">необходимо не менее двух прогонов LaTeX. Это подтверждает важность понимания механизма компиляции.</w:t>
      </w:r>
    </w:p>
    <w:bookmarkEnd w:id="71"/>
    <w:bookmarkStart w:id="72" w:name="X31e408b46785179da8865eb811d8a41bf891ff3"/>
    <w:p>
      <w:pPr>
        <w:pStyle w:val="Heading2"/>
      </w:pPr>
      <w:r>
        <w:t xml:space="preserve">Практическая значимость работы заключается в том, что освоенные методы позволяют:</w:t>
      </w:r>
    </w:p>
    <w:p>
      <w:pPr>
        <w:pStyle w:val="FirstParagraph"/>
      </w:pPr>
      <w:r>
        <w:t xml:space="preserve">грамотно оформлять научные публикации, диссертации и отчёты;</w:t>
      </w:r>
    </w:p>
    <w:p>
      <w:pPr>
        <w:pStyle w:val="BodyText"/>
      </w:pPr>
      <w:r>
        <w:t xml:space="preserve">повышать визуальную наглядность материалов за счёт интеграции графики;</w:t>
      </w:r>
    </w:p>
    <w:p>
      <w:pPr>
        <w:pStyle w:val="BodyText"/>
      </w:pPr>
      <w:r>
        <w:t xml:space="preserve">избегать ошибок при нумерации и ссылках, что важно при подготовке больших документов.</w:t>
      </w:r>
    </w:p>
    <w:bookmarkEnd w:id="72"/>
    <w:bookmarkEnd w:id="73"/>
    <w:bookmarkStart w:id="74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p>
      <w:pPr>
        <w:pStyle w:val="FirstParagraph"/>
      </w:pPr>
      <w:r>
        <w:t xml:space="preserve">LaTeX остаётся надёжной и универсальной системой для подготовки научных документов высокого качества.</w:t>
      </w:r>
    </w:p>
    <w:p>
      <w:pPr>
        <w:pStyle w:val="BodyText"/>
      </w:pPr>
      <w:r>
        <w:t xml:space="preserve">Грамотное использование графики способствует лучшему восприятию данных и повышает академический уровень оформления публикаций.</w:t>
      </w:r>
    </w:p>
    <w:p>
      <w:pPr>
        <w:pStyle w:val="BodyText"/>
      </w:pPr>
      <w:r>
        <w:t xml:space="preserve">Полученные навыки можно применять при написании научных статей, дипломных и проектных работ, а также при подготовке отчётов и презентаций.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8" Target="media/rId38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60" Target="media/rId60.jpg" /><Relationship Type="http://schemas.openxmlformats.org/officeDocument/2006/relationships/image" Id="rId65" Target="media/rId6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№4: Математика Mathematics Typing</dc:title>
  <dc:creator>ДАБВАН ЛУАИ МОХАММЕД АЛИ</dc:creator>
  <dc:language>ru-RU</dc:language>
  <cp:keywords/>
  <dcterms:created xsi:type="dcterms:W3CDTF">2025-10-24T17:56:01Z</dcterms:created>
  <dcterms:modified xsi:type="dcterms:W3CDTF">2025-10-24T17:56:01Z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Компьютерный практикум по научному письму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