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7F5EA" w14:textId="201166C6" w:rsidR="008720D7" w:rsidRPr="00AB5187" w:rsidRDefault="008720D7" w:rsidP="00AF433A">
      <w:pPr>
        <w:spacing w:beforeLines="50" w:before="156" w:afterLines="50" w:after="156" w:line="240" w:lineRule="auto"/>
        <w:ind w:firstLineChars="0" w:firstLine="0"/>
        <w:jc w:val="center"/>
        <w:rPr>
          <w:rFonts w:eastAsia="黑体" w:hint="eastAsia"/>
          <w:b/>
          <w:bCs/>
        </w:rPr>
      </w:pPr>
      <w:r w:rsidRPr="00AB5187">
        <w:rPr>
          <w:rFonts w:eastAsia="黑体" w:hint="eastAsia"/>
          <w:b/>
          <w:bCs/>
        </w:rPr>
        <w:t xml:space="preserve">MATLAB code for computing mixed </w:t>
      </w:r>
      <w:r w:rsidR="00207872" w:rsidRPr="00AB5187">
        <w:rPr>
          <w:rFonts w:eastAsia="黑体" w:hint="eastAsia"/>
          <w:b/>
          <w:bCs/>
        </w:rPr>
        <w:t xml:space="preserve">urban </w:t>
      </w:r>
      <w:r w:rsidRPr="00AB5187">
        <w:rPr>
          <w:rFonts w:eastAsia="黑体" w:hint="eastAsia"/>
          <w:b/>
          <w:bCs/>
        </w:rPr>
        <w:t xml:space="preserve">land use degree with </w:t>
      </w:r>
      <w:r w:rsidR="00C040C4" w:rsidRPr="00AB5187">
        <w:rPr>
          <w:rFonts w:eastAsia="黑体"/>
          <w:b/>
          <w:bCs/>
        </w:rPr>
        <w:t>geo-big data</w:t>
      </w:r>
    </w:p>
    <w:p w14:paraId="7D8C749D" w14:textId="072F9085" w:rsidR="00025A26" w:rsidRPr="002A58EB" w:rsidRDefault="003F1B30" w:rsidP="00886D38">
      <w:pPr>
        <w:spacing w:line="240" w:lineRule="auto"/>
        <w:jc w:val="both"/>
        <w:rPr>
          <w:rFonts w:eastAsia="黑体"/>
          <w:color w:val="000000" w:themeColor="text1"/>
        </w:rPr>
      </w:pPr>
      <w:r w:rsidRPr="002A58EB">
        <w:rPr>
          <w:rFonts w:eastAsia="黑体"/>
          <w:color w:val="000000" w:themeColor="text1"/>
        </w:rPr>
        <w:t xml:space="preserve">We use the following </w:t>
      </w:r>
      <w:r w:rsidR="00995EB9" w:rsidRPr="002A58EB">
        <w:rPr>
          <w:rFonts w:eastAsia="黑体"/>
          <w:color w:val="000000" w:themeColor="text1"/>
        </w:rPr>
        <w:t xml:space="preserve">equations to calculate the land use compatibility, poi compatible density and population mobility illustrated in </w:t>
      </w:r>
      <w:r w:rsidR="002056B6" w:rsidRPr="002A58EB">
        <w:rPr>
          <w:rFonts w:eastAsia="黑体"/>
          <w:color w:val="000000" w:themeColor="text1"/>
        </w:rPr>
        <w:t>Figure 1</w:t>
      </w:r>
      <w:r w:rsidR="000442E4" w:rsidRPr="002A58EB">
        <w:rPr>
          <w:rFonts w:eastAsia="黑体" w:hint="eastAsia"/>
          <w:color w:val="000000" w:themeColor="text1"/>
        </w:rPr>
        <w:t>:</w:t>
      </w:r>
    </w:p>
    <w:p w14:paraId="3F522791" w14:textId="64F8DA92" w:rsidR="002056B6" w:rsidRDefault="002056B6" w:rsidP="00886D38">
      <w:pPr>
        <w:spacing w:beforeLines="50" w:before="156" w:line="240" w:lineRule="auto"/>
        <w:ind w:firstLineChars="0" w:firstLine="0"/>
        <w:jc w:val="both"/>
        <w:rPr>
          <w:rFonts w:ascii="黑体" w:eastAsia="黑体" w:hAnsi="黑体" w:hint="eastAsia"/>
        </w:rPr>
      </w:pPr>
      <w:r w:rsidRPr="00517379">
        <w:rPr>
          <w:noProof/>
          <w:color w:val="2E74B5" w:themeColor="accent5" w:themeShade="BF"/>
        </w:rPr>
        <w:drawing>
          <wp:inline distT="0" distB="0" distL="0" distR="0" wp14:anchorId="39E6054E" wp14:editId="750F7D23">
            <wp:extent cx="5274310" cy="1350766"/>
            <wp:effectExtent l="0" t="0" r="0" b="0"/>
            <wp:docPr id="10258492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" t="15887" r="3202" b="10009"/>
                    <a:stretch/>
                  </pic:blipFill>
                  <pic:spPr bwMode="auto">
                    <a:xfrm>
                      <a:off x="0" y="0"/>
                      <a:ext cx="5274310" cy="135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1295D" w14:textId="7EBAE067" w:rsidR="002E3175" w:rsidRPr="00B17F5F" w:rsidRDefault="002E3175" w:rsidP="00886D38">
      <w:pPr>
        <w:spacing w:line="260" w:lineRule="exact"/>
        <w:ind w:firstLineChars="0" w:firstLine="0"/>
        <w:jc w:val="both"/>
        <w:rPr>
          <w:rFonts w:eastAsia="黑体"/>
          <w:color w:val="000000" w:themeColor="text1"/>
          <w:sz w:val="21"/>
          <w:szCs w:val="21"/>
        </w:rPr>
      </w:pPr>
      <w:r w:rsidRPr="00B17F5F">
        <w:rPr>
          <w:rFonts w:eastAsia="黑体"/>
          <w:b/>
          <w:bCs/>
          <w:i/>
          <w:iCs/>
          <w:color w:val="000000" w:themeColor="text1"/>
          <w:sz w:val="21"/>
          <w:szCs w:val="21"/>
        </w:rPr>
        <w:t>Note:</w:t>
      </w:r>
      <w:r w:rsidRPr="00B17F5F">
        <w:rPr>
          <w:rFonts w:eastAsia="黑体"/>
          <w:i/>
          <w:iCs/>
          <w:color w:val="000000" w:themeColor="text1"/>
          <w:sz w:val="21"/>
          <w:szCs w:val="21"/>
        </w:rPr>
        <w:t xml:space="preserve"> Different colors in the 5*5 neighborhood in Figure </w:t>
      </w:r>
      <w:r w:rsidRPr="00B17F5F">
        <w:rPr>
          <w:rFonts w:eastAsia="黑体" w:hint="eastAsia"/>
          <w:i/>
          <w:iCs/>
          <w:color w:val="000000" w:themeColor="text1"/>
          <w:sz w:val="21"/>
          <w:szCs w:val="21"/>
        </w:rPr>
        <w:t>1</w:t>
      </w:r>
      <w:r w:rsidRPr="00B17F5F">
        <w:rPr>
          <w:rFonts w:eastAsia="黑体"/>
          <w:i/>
          <w:iCs/>
          <w:color w:val="000000" w:themeColor="text1"/>
          <w:sz w:val="21"/>
          <w:szCs w:val="21"/>
        </w:rPr>
        <w:t xml:space="preserve">(a) represent different land use types; different colored points in the neighborhood in Figure </w:t>
      </w:r>
      <w:r w:rsidRPr="00B17F5F">
        <w:rPr>
          <w:rFonts w:eastAsia="黑体" w:hint="eastAsia"/>
          <w:i/>
          <w:iCs/>
          <w:color w:val="000000" w:themeColor="text1"/>
          <w:sz w:val="21"/>
          <w:szCs w:val="21"/>
        </w:rPr>
        <w:t>1</w:t>
      </w:r>
      <w:r w:rsidRPr="00B17F5F">
        <w:rPr>
          <w:rFonts w:eastAsia="黑体"/>
          <w:i/>
          <w:iCs/>
          <w:color w:val="000000" w:themeColor="text1"/>
          <w:sz w:val="21"/>
          <w:szCs w:val="21"/>
        </w:rPr>
        <w:t xml:space="preserve">(b) represent different types of POIs; and Figure </w:t>
      </w:r>
      <w:r w:rsidRPr="00B17F5F">
        <w:rPr>
          <w:rFonts w:eastAsia="黑体" w:hint="eastAsia"/>
          <w:i/>
          <w:iCs/>
          <w:color w:val="000000" w:themeColor="text1"/>
          <w:sz w:val="21"/>
          <w:szCs w:val="21"/>
        </w:rPr>
        <w:t>1</w:t>
      </w:r>
      <w:r w:rsidRPr="00B17F5F">
        <w:rPr>
          <w:rFonts w:eastAsia="黑体"/>
          <w:i/>
          <w:iCs/>
          <w:color w:val="000000" w:themeColor="text1"/>
          <w:sz w:val="21"/>
          <w:szCs w:val="21"/>
        </w:rPr>
        <w:t xml:space="preserve">(c) represents the population flows interacting within and </w:t>
      </w:r>
      <w:r w:rsidRPr="00B17F5F">
        <w:rPr>
          <w:rFonts w:eastAsia="黑体" w:hint="eastAsia"/>
          <w:i/>
          <w:iCs/>
          <w:color w:val="000000" w:themeColor="text1"/>
          <w:sz w:val="21"/>
          <w:szCs w:val="21"/>
        </w:rPr>
        <w:t>across</w:t>
      </w:r>
      <w:r w:rsidRPr="00B17F5F">
        <w:rPr>
          <w:rFonts w:eastAsia="黑体"/>
          <w:i/>
          <w:iCs/>
          <w:color w:val="000000" w:themeColor="text1"/>
          <w:sz w:val="21"/>
          <w:szCs w:val="21"/>
        </w:rPr>
        <w:t xml:space="preserve"> the circular neighborhood of the core raster.</w:t>
      </w:r>
    </w:p>
    <w:p w14:paraId="5371A31F" w14:textId="6E0B964F" w:rsidR="0008631B" w:rsidRPr="00517379" w:rsidRDefault="0008631B" w:rsidP="00B31D75">
      <w:pPr>
        <w:spacing w:beforeLines="50" w:before="156" w:afterLines="50" w:after="156" w:line="240" w:lineRule="auto"/>
        <w:ind w:firstLineChars="0" w:firstLine="0"/>
        <w:jc w:val="center"/>
        <w:rPr>
          <w:color w:val="2E74B5" w:themeColor="accent5" w:themeShade="BF"/>
        </w:rPr>
      </w:pPr>
      <w:r w:rsidRPr="00517379">
        <w:rPr>
          <w:color w:val="2E74B5" w:themeColor="accent5" w:themeShade="BF"/>
          <w:position w:val="-22"/>
        </w:rPr>
        <w:object w:dxaOrig="4360" w:dyaOrig="600" w14:anchorId="4E40BD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65pt;height:29.95pt" o:ole="">
            <v:imagedata r:id="rId5" o:title=""/>
          </v:shape>
          <o:OLEObject Type="Embed" ProgID="Equation.DSMT4" ShapeID="_x0000_i1025" DrawAspect="Content" ObjectID="_1790580840" r:id="rId6"/>
        </w:object>
      </w:r>
    </w:p>
    <w:p w14:paraId="498BC370" w14:textId="6818B1AB" w:rsidR="0008631B" w:rsidRPr="002A58EB" w:rsidRDefault="0008631B" w:rsidP="00886D38">
      <w:pPr>
        <w:spacing w:line="240" w:lineRule="auto"/>
        <w:ind w:firstLineChars="0" w:firstLine="0"/>
        <w:jc w:val="both"/>
        <w:rPr>
          <w:rFonts w:eastAsia="黑体"/>
          <w:color w:val="000000" w:themeColor="text1"/>
        </w:rPr>
      </w:pPr>
      <w:r w:rsidRPr="002A58EB">
        <w:rPr>
          <w:rFonts w:eastAsia="黑体"/>
          <w:i/>
          <w:iCs/>
          <w:color w:val="000000" w:themeColor="text1"/>
        </w:rPr>
        <w:t>cm</w:t>
      </w:r>
      <w:r w:rsidRPr="002A58EB">
        <w:rPr>
          <w:rFonts w:eastAsia="黑体"/>
          <w:i/>
          <w:iCs/>
          <w:color w:val="000000" w:themeColor="text1"/>
          <w:vertAlign w:val="subscript"/>
        </w:rPr>
        <w:t>ij</w:t>
      </w:r>
      <w:r w:rsidRPr="002A58EB">
        <w:rPr>
          <w:rFonts w:eastAsia="黑体"/>
          <w:color w:val="000000" w:themeColor="text1"/>
        </w:rPr>
        <w:t xml:space="preserve"> represents the compatibility of the grid cell in the </w:t>
      </w:r>
      <w:r w:rsidRPr="002A58EB">
        <w:rPr>
          <w:rFonts w:eastAsia="黑体"/>
          <w:i/>
          <w:iCs/>
          <w:color w:val="000000" w:themeColor="text1"/>
        </w:rPr>
        <w:t>i</w:t>
      </w:r>
      <w:r w:rsidRPr="002A58EB">
        <w:rPr>
          <w:rFonts w:eastAsia="黑体"/>
          <w:color w:val="000000" w:themeColor="text1"/>
        </w:rPr>
        <w:t>-</w:t>
      </w:r>
      <w:r w:rsidRPr="002A58EB">
        <w:rPr>
          <w:rFonts w:eastAsia="黑体"/>
          <w:i/>
          <w:iCs/>
          <w:color w:val="000000" w:themeColor="text1"/>
        </w:rPr>
        <w:t>th</w:t>
      </w:r>
      <w:r w:rsidRPr="002A58EB">
        <w:rPr>
          <w:rFonts w:eastAsia="黑体"/>
          <w:color w:val="000000" w:themeColor="text1"/>
        </w:rPr>
        <w:t xml:space="preserve"> row and </w:t>
      </w:r>
      <w:r w:rsidRPr="002A58EB">
        <w:rPr>
          <w:rFonts w:eastAsia="黑体"/>
          <w:i/>
          <w:iCs/>
          <w:color w:val="000000" w:themeColor="text1"/>
        </w:rPr>
        <w:t>j</w:t>
      </w:r>
      <w:r w:rsidRPr="002A58EB">
        <w:rPr>
          <w:rFonts w:eastAsia="黑体"/>
          <w:color w:val="000000" w:themeColor="text1"/>
        </w:rPr>
        <w:t>-</w:t>
      </w:r>
      <w:r w:rsidRPr="002A58EB">
        <w:rPr>
          <w:rFonts w:eastAsia="黑体"/>
          <w:i/>
          <w:iCs/>
          <w:color w:val="000000" w:themeColor="text1"/>
        </w:rPr>
        <w:t>th</w:t>
      </w:r>
      <w:r w:rsidRPr="002A58EB">
        <w:rPr>
          <w:rFonts w:eastAsia="黑体"/>
          <w:color w:val="000000" w:themeColor="text1"/>
        </w:rPr>
        <w:t xml:space="preserve"> column with other cells within a 5x5 neighborhood, shown in Figure. </w:t>
      </w:r>
      <w:r w:rsidR="006A00E1" w:rsidRPr="002A58EB">
        <w:rPr>
          <w:rFonts w:eastAsia="黑体" w:hint="eastAsia"/>
          <w:color w:val="000000" w:themeColor="text1"/>
        </w:rPr>
        <w:t>1</w:t>
      </w:r>
      <w:r w:rsidRPr="002A58EB">
        <w:rPr>
          <w:rFonts w:eastAsia="黑体"/>
          <w:color w:val="000000" w:themeColor="text1"/>
        </w:rPr>
        <w:t xml:space="preserve">(a). </w:t>
      </w:r>
      <w:r w:rsidRPr="002A58EB">
        <w:rPr>
          <w:rFonts w:eastAsia="黑体"/>
          <w:i/>
          <w:iCs/>
          <w:color w:val="000000" w:themeColor="text1"/>
        </w:rPr>
        <w:t>cop</w:t>
      </w:r>
      <w:r w:rsidRPr="002A58EB">
        <w:rPr>
          <w:rFonts w:eastAsia="黑体"/>
          <w:i/>
          <w:iCs/>
          <w:color w:val="000000" w:themeColor="text1"/>
          <w:vertAlign w:val="subscript"/>
        </w:rPr>
        <w:t>ij</w:t>
      </w:r>
      <w:r w:rsidRPr="002A58EB">
        <w:rPr>
          <w:rFonts w:eastAsia="黑体"/>
          <w:color w:val="000000" w:themeColor="text1"/>
        </w:rPr>
        <w:t xml:space="preserve"> (</w:t>
      </w:r>
      <w:r w:rsidRPr="002A58EB">
        <w:rPr>
          <w:rFonts w:eastAsia="黑体"/>
          <w:i/>
          <w:iCs/>
          <w:color w:val="000000" w:themeColor="text1"/>
        </w:rPr>
        <w:t>g,</w:t>
      </w:r>
      <w:r w:rsidRPr="002A58EB">
        <w:rPr>
          <w:rFonts w:eastAsia="黑体"/>
          <w:color w:val="000000" w:themeColor="text1"/>
        </w:rPr>
        <w:t xml:space="preserve"> </w:t>
      </w:r>
      <w:r w:rsidRPr="002A58EB">
        <w:rPr>
          <w:rFonts w:eastAsia="黑体"/>
          <w:i/>
          <w:iCs/>
          <w:color w:val="000000" w:themeColor="text1"/>
        </w:rPr>
        <w:t>h</w:t>
      </w:r>
      <w:r w:rsidRPr="002A58EB">
        <w:rPr>
          <w:rFonts w:eastAsia="黑体"/>
          <w:color w:val="000000" w:themeColor="text1"/>
        </w:rPr>
        <w:t xml:space="preserve">) is the compatibility coefficient between the land use type of the grid cell in the </w:t>
      </w:r>
      <w:r w:rsidRPr="002A58EB">
        <w:rPr>
          <w:rFonts w:eastAsia="黑体"/>
          <w:i/>
          <w:iCs/>
          <w:color w:val="000000" w:themeColor="text1"/>
        </w:rPr>
        <w:t>i</w:t>
      </w:r>
      <w:r w:rsidRPr="002A58EB">
        <w:rPr>
          <w:rFonts w:eastAsia="黑体"/>
          <w:color w:val="000000" w:themeColor="text1"/>
        </w:rPr>
        <w:t xml:space="preserve">-th row and </w:t>
      </w:r>
      <w:r w:rsidRPr="002A58EB">
        <w:rPr>
          <w:rFonts w:eastAsia="黑体"/>
          <w:i/>
          <w:iCs/>
          <w:color w:val="000000" w:themeColor="text1"/>
        </w:rPr>
        <w:t>j</w:t>
      </w:r>
      <w:r w:rsidRPr="002A58EB">
        <w:rPr>
          <w:rFonts w:eastAsia="黑体"/>
          <w:color w:val="000000" w:themeColor="text1"/>
        </w:rPr>
        <w:t xml:space="preserve">-th column and the land use type of the grid cell in the </w:t>
      </w:r>
      <w:r w:rsidRPr="002A58EB">
        <w:rPr>
          <w:rFonts w:eastAsia="黑体"/>
          <w:i/>
          <w:iCs/>
          <w:color w:val="000000" w:themeColor="text1"/>
        </w:rPr>
        <w:t>g</w:t>
      </w:r>
      <w:r w:rsidRPr="002A58EB">
        <w:rPr>
          <w:rFonts w:eastAsia="黑体"/>
          <w:color w:val="000000" w:themeColor="text1"/>
        </w:rPr>
        <w:t>-</w:t>
      </w:r>
      <w:r w:rsidRPr="002A58EB">
        <w:rPr>
          <w:rFonts w:eastAsia="黑体"/>
          <w:i/>
          <w:iCs/>
          <w:color w:val="000000" w:themeColor="text1"/>
        </w:rPr>
        <w:t>th</w:t>
      </w:r>
      <w:r w:rsidRPr="002A58EB">
        <w:rPr>
          <w:rFonts w:eastAsia="黑体"/>
          <w:color w:val="000000" w:themeColor="text1"/>
        </w:rPr>
        <w:t xml:space="preserve"> row and </w:t>
      </w:r>
      <w:r w:rsidRPr="002A58EB">
        <w:rPr>
          <w:rFonts w:eastAsia="黑体"/>
          <w:i/>
          <w:iCs/>
          <w:color w:val="000000" w:themeColor="text1"/>
        </w:rPr>
        <w:t>h</w:t>
      </w:r>
      <w:r w:rsidRPr="002A58EB">
        <w:rPr>
          <w:rFonts w:eastAsia="黑体"/>
          <w:color w:val="000000" w:themeColor="text1"/>
        </w:rPr>
        <w:t>-</w:t>
      </w:r>
      <w:r w:rsidRPr="002A58EB">
        <w:rPr>
          <w:rFonts w:eastAsia="黑体"/>
          <w:i/>
          <w:iCs/>
          <w:color w:val="000000" w:themeColor="text1"/>
        </w:rPr>
        <w:t>th</w:t>
      </w:r>
      <w:r w:rsidRPr="002A58EB">
        <w:rPr>
          <w:rFonts w:eastAsia="黑体"/>
          <w:color w:val="000000" w:themeColor="text1"/>
        </w:rPr>
        <w:t xml:space="preserve"> column within the 5x5 neighborhood. These coefficients are derived from existing literature based on expert judgment. </w:t>
      </w:r>
      <w:r w:rsidRPr="002A58EB">
        <w:rPr>
          <w:rFonts w:eastAsia="黑体"/>
          <w:i/>
          <w:iCs/>
          <w:color w:val="000000" w:themeColor="text1"/>
        </w:rPr>
        <w:t>d</w:t>
      </w:r>
      <w:r w:rsidRPr="002A58EB">
        <w:rPr>
          <w:rFonts w:eastAsia="黑体"/>
          <w:i/>
          <w:iCs/>
          <w:color w:val="000000" w:themeColor="text1"/>
          <w:vertAlign w:val="subscript"/>
        </w:rPr>
        <w:t>ij</w:t>
      </w:r>
      <w:r w:rsidRPr="002A58EB">
        <w:rPr>
          <w:rFonts w:eastAsia="黑体"/>
          <w:i/>
          <w:iCs/>
          <w:color w:val="000000" w:themeColor="text1"/>
        </w:rPr>
        <w:t xml:space="preserve"> </w:t>
      </w:r>
      <w:r w:rsidRPr="002A58EB">
        <w:rPr>
          <w:rFonts w:eastAsia="黑体"/>
          <w:color w:val="000000" w:themeColor="text1"/>
        </w:rPr>
        <w:t>(</w:t>
      </w:r>
      <w:r w:rsidRPr="002A58EB">
        <w:rPr>
          <w:rFonts w:eastAsia="黑体"/>
          <w:i/>
          <w:iCs/>
          <w:color w:val="000000" w:themeColor="text1"/>
        </w:rPr>
        <w:t>g, h</w:t>
      </w:r>
      <w:r w:rsidRPr="002A58EB">
        <w:rPr>
          <w:rFonts w:eastAsia="黑体"/>
          <w:color w:val="000000" w:themeColor="text1"/>
        </w:rPr>
        <w:t>) represents the distance between the two grid cells. We assume there is a linear decay and that the greater the distance, the less the compatibility.</w:t>
      </w:r>
    </w:p>
    <w:p w14:paraId="49CABDB2" w14:textId="5CD22D85" w:rsidR="00F54A35" w:rsidRPr="00517379" w:rsidRDefault="00F54A35" w:rsidP="00B31D75">
      <w:pPr>
        <w:spacing w:beforeLines="50" w:before="156" w:afterLines="50" w:after="156" w:line="240" w:lineRule="auto"/>
        <w:ind w:firstLineChars="0" w:firstLine="0"/>
        <w:jc w:val="center"/>
        <w:rPr>
          <w:color w:val="2E74B5" w:themeColor="accent5" w:themeShade="BF"/>
        </w:rPr>
      </w:pPr>
      <w:r w:rsidRPr="00517379">
        <w:rPr>
          <w:color w:val="2E74B5" w:themeColor="accent5" w:themeShade="BF"/>
          <w:position w:val="-20"/>
        </w:rPr>
        <w:object w:dxaOrig="5160" w:dyaOrig="580" w14:anchorId="4EF90D6A">
          <v:shape id="_x0000_i1026" type="#_x0000_t75" style="width:255.95pt;height:29.95pt" o:ole="">
            <v:imagedata r:id="rId7" o:title=""/>
          </v:shape>
          <o:OLEObject Type="Embed" ProgID="Equation.DSMT4" ShapeID="_x0000_i1026" DrawAspect="Content" ObjectID="_1790580841" r:id="rId8"/>
        </w:object>
      </w:r>
    </w:p>
    <w:p w14:paraId="01DC3640" w14:textId="74C137FE" w:rsidR="00F54A35" w:rsidRPr="000377A4" w:rsidRDefault="00F54A35" w:rsidP="00886D38">
      <w:pPr>
        <w:spacing w:line="320" w:lineRule="exact"/>
        <w:ind w:firstLineChars="0" w:firstLine="0"/>
        <w:jc w:val="both"/>
        <w:rPr>
          <w:rFonts w:eastAsia="黑体"/>
          <w:color w:val="000000" w:themeColor="text1"/>
        </w:rPr>
      </w:pPr>
      <w:r w:rsidRPr="000377A4">
        <w:rPr>
          <w:rFonts w:eastAsia="黑体"/>
          <w:i/>
          <w:iCs/>
          <w:color w:val="000000" w:themeColor="text1"/>
        </w:rPr>
        <w:t>cd</w:t>
      </w:r>
      <w:r w:rsidRPr="000377A4">
        <w:rPr>
          <w:rFonts w:eastAsia="黑体"/>
          <w:i/>
          <w:iCs/>
          <w:color w:val="000000" w:themeColor="text1"/>
          <w:vertAlign w:val="subscript"/>
        </w:rPr>
        <w:t>ij</w:t>
      </w:r>
      <w:r w:rsidRPr="000377A4">
        <w:rPr>
          <w:rFonts w:eastAsia="黑体"/>
          <w:color w:val="000000" w:themeColor="text1"/>
        </w:rPr>
        <w:t xml:space="preserve"> represents the POI compatible density of the grid cell in the </w:t>
      </w:r>
      <w:r w:rsidRPr="000377A4">
        <w:rPr>
          <w:rFonts w:eastAsia="黑体"/>
          <w:i/>
          <w:iCs/>
          <w:color w:val="000000" w:themeColor="text1"/>
        </w:rPr>
        <w:t>i</w:t>
      </w:r>
      <w:r w:rsidRPr="000377A4">
        <w:rPr>
          <w:rFonts w:eastAsia="黑体"/>
          <w:color w:val="000000" w:themeColor="text1"/>
        </w:rPr>
        <w:t>-</w:t>
      </w:r>
      <w:r w:rsidRPr="000377A4">
        <w:rPr>
          <w:rFonts w:eastAsia="黑体"/>
          <w:i/>
          <w:iCs/>
          <w:color w:val="000000" w:themeColor="text1"/>
        </w:rPr>
        <w:t>th</w:t>
      </w:r>
      <w:r w:rsidRPr="000377A4">
        <w:rPr>
          <w:rFonts w:eastAsia="黑体"/>
          <w:color w:val="000000" w:themeColor="text1"/>
        </w:rPr>
        <w:t xml:space="preserve"> row and </w:t>
      </w:r>
      <w:r w:rsidRPr="000377A4">
        <w:rPr>
          <w:rFonts w:eastAsia="黑体"/>
          <w:i/>
          <w:iCs/>
          <w:color w:val="000000" w:themeColor="text1"/>
        </w:rPr>
        <w:t>j</w:t>
      </w:r>
      <w:r w:rsidRPr="000377A4">
        <w:rPr>
          <w:rFonts w:eastAsia="黑体"/>
          <w:color w:val="000000" w:themeColor="text1"/>
        </w:rPr>
        <w:t>-</w:t>
      </w:r>
      <w:r w:rsidRPr="000377A4">
        <w:rPr>
          <w:rFonts w:eastAsia="黑体"/>
          <w:i/>
          <w:iCs/>
          <w:color w:val="000000" w:themeColor="text1"/>
        </w:rPr>
        <w:t>th</w:t>
      </w:r>
      <w:r w:rsidRPr="000377A4">
        <w:rPr>
          <w:rFonts w:eastAsia="黑体"/>
          <w:color w:val="000000" w:themeColor="text1"/>
        </w:rPr>
        <w:t xml:space="preserve"> column within a 5x5 neighborhood in Figure. </w:t>
      </w:r>
      <w:r w:rsidRPr="000377A4">
        <w:rPr>
          <w:rFonts w:eastAsia="黑体" w:hint="eastAsia"/>
          <w:color w:val="000000" w:themeColor="text1"/>
        </w:rPr>
        <w:t>1</w:t>
      </w:r>
      <w:r w:rsidRPr="000377A4">
        <w:rPr>
          <w:rFonts w:eastAsia="黑体"/>
          <w:color w:val="000000" w:themeColor="text1"/>
        </w:rPr>
        <w:t xml:space="preserve">(b). </w:t>
      </w:r>
      <w:r w:rsidRPr="000377A4">
        <w:rPr>
          <w:rFonts w:eastAsia="黑体"/>
          <w:i/>
          <w:iCs/>
          <w:color w:val="000000" w:themeColor="text1"/>
        </w:rPr>
        <w:t xml:space="preserve">poic </w:t>
      </w:r>
      <w:r w:rsidRPr="000377A4">
        <w:rPr>
          <w:rFonts w:eastAsia="黑体"/>
          <w:color w:val="000000" w:themeColor="text1"/>
        </w:rPr>
        <w:t>(</w:t>
      </w:r>
      <w:r w:rsidRPr="000377A4">
        <w:rPr>
          <w:rFonts w:eastAsia="黑体"/>
          <w:i/>
          <w:iCs/>
          <w:color w:val="000000" w:themeColor="text1"/>
        </w:rPr>
        <w:t>m</w:t>
      </w:r>
      <w:r w:rsidRPr="000377A4">
        <w:rPr>
          <w:rFonts w:eastAsia="黑体"/>
          <w:color w:val="000000" w:themeColor="text1"/>
        </w:rPr>
        <w:t xml:space="preserve">, </w:t>
      </w:r>
      <w:r w:rsidRPr="000377A4">
        <w:rPr>
          <w:rFonts w:eastAsia="黑体"/>
          <w:i/>
          <w:iCs/>
          <w:color w:val="000000" w:themeColor="text1"/>
        </w:rPr>
        <w:t>n</w:t>
      </w:r>
      <w:r w:rsidRPr="000377A4">
        <w:rPr>
          <w:rFonts w:eastAsia="黑体"/>
          <w:color w:val="000000" w:themeColor="text1"/>
        </w:rPr>
        <w:t xml:space="preserve">) denotes the compatibility coefficient between POI type </w:t>
      </w:r>
      <w:r w:rsidRPr="000377A4">
        <w:rPr>
          <w:rFonts w:eastAsia="黑体"/>
          <w:i/>
          <w:iCs/>
          <w:color w:val="000000" w:themeColor="text1"/>
        </w:rPr>
        <w:t>m</w:t>
      </w:r>
      <w:r w:rsidRPr="000377A4">
        <w:rPr>
          <w:rFonts w:eastAsia="黑体"/>
          <w:color w:val="000000" w:themeColor="text1"/>
        </w:rPr>
        <w:t xml:space="preserve"> and type </w:t>
      </w:r>
      <w:r w:rsidRPr="000377A4">
        <w:rPr>
          <w:rFonts w:eastAsia="黑体"/>
          <w:i/>
          <w:iCs/>
          <w:color w:val="000000" w:themeColor="text1"/>
        </w:rPr>
        <w:t>n</w:t>
      </w:r>
      <w:r w:rsidRPr="000377A4">
        <w:rPr>
          <w:rFonts w:eastAsia="黑体"/>
          <w:color w:val="000000" w:themeColor="text1"/>
        </w:rPr>
        <w:t xml:space="preserve">, while </w:t>
      </w:r>
      <w:r w:rsidRPr="000377A4">
        <w:rPr>
          <w:rFonts w:eastAsia="黑体"/>
          <w:i/>
          <w:iCs/>
          <w:color w:val="000000" w:themeColor="text1"/>
        </w:rPr>
        <w:t>q</w:t>
      </w:r>
      <w:r w:rsidRPr="000377A4">
        <w:rPr>
          <w:rFonts w:eastAsia="黑体"/>
          <w:color w:val="000000" w:themeColor="text1"/>
        </w:rPr>
        <w:t>(</w:t>
      </w:r>
      <w:r w:rsidRPr="000377A4">
        <w:rPr>
          <w:rFonts w:eastAsia="黑体"/>
          <w:i/>
          <w:iCs/>
          <w:color w:val="000000" w:themeColor="text1"/>
        </w:rPr>
        <w:t>m</w:t>
      </w:r>
      <w:r w:rsidRPr="000377A4">
        <w:rPr>
          <w:rFonts w:eastAsia="黑体"/>
          <w:color w:val="000000" w:themeColor="text1"/>
        </w:rPr>
        <w:t xml:space="preserve">) and </w:t>
      </w:r>
      <w:r w:rsidRPr="000377A4">
        <w:rPr>
          <w:rFonts w:eastAsia="黑体"/>
          <w:i/>
          <w:iCs/>
          <w:color w:val="000000" w:themeColor="text1"/>
        </w:rPr>
        <w:t>q</w:t>
      </w:r>
      <w:r w:rsidRPr="000377A4">
        <w:rPr>
          <w:rFonts w:eastAsia="黑体"/>
          <w:color w:val="000000" w:themeColor="text1"/>
        </w:rPr>
        <w:t>(</w:t>
      </w:r>
      <w:r w:rsidRPr="000377A4">
        <w:rPr>
          <w:rFonts w:eastAsia="黑体"/>
          <w:i/>
          <w:iCs/>
          <w:color w:val="000000" w:themeColor="text1"/>
        </w:rPr>
        <w:t>n</w:t>
      </w:r>
      <w:r w:rsidRPr="000377A4">
        <w:rPr>
          <w:rFonts w:eastAsia="黑体"/>
          <w:color w:val="000000" w:themeColor="text1"/>
        </w:rPr>
        <w:t xml:space="preserve">) represent the number of POIs of type </w:t>
      </w:r>
      <w:r w:rsidRPr="000377A4">
        <w:rPr>
          <w:rFonts w:eastAsia="黑体"/>
          <w:i/>
          <w:iCs/>
          <w:color w:val="000000" w:themeColor="text1"/>
        </w:rPr>
        <w:t>m</w:t>
      </w:r>
      <w:r w:rsidRPr="000377A4">
        <w:rPr>
          <w:rFonts w:eastAsia="黑体"/>
          <w:color w:val="000000" w:themeColor="text1"/>
        </w:rPr>
        <w:t xml:space="preserve"> and type </w:t>
      </w:r>
      <w:r w:rsidRPr="000377A4">
        <w:rPr>
          <w:rFonts w:eastAsia="黑体"/>
          <w:i/>
          <w:iCs/>
          <w:color w:val="000000" w:themeColor="text1"/>
        </w:rPr>
        <w:t>n</w:t>
      </w:r>
      <w:r w:rsidRPr="000377A4">
        <w:rPr>
          <w:rFonts w:eastAsia="黑体"/>
          <w:color w:val="000000" w:themeColor="text1"/>
        </w:rPr>
        <w:t xml:space="preserve"> within the 5x5 neighborhood, respectively.</w:t>
      </w:r>
    </w:p>
    <w:p w14:paraId="406B79A3" w14:textId="6BC4F018" w:rsidR="00F54A35" w:rsidRPr="00517379" w:rsidRDefault="00F54A35" w:rsidP="00B31D75">
      <w:pPr>
        <w:spacing w:line="240" w:lineRule="auto"/>
        <w:ind w:firstLineChars="0" w:firstLine="0"/>
        <w:jc w:val="center"/>
        <w:rPr>
          <w:color w:val="2E74B5" w:themeColor="accent5" w:themeShade="BF"/>
          <w:sz w:val="30"/>
          <w:szCs w:val="30"/>
        </w:rPr>
      </w:pPr>
      <w:r w:rsidRPr="00517379">
        <w:rPr>
          <w:color w:val="2E74B5" w:themeColor="accent5" w:themeShade="BF"/>
          <w:position w:val="-16"/>
        </w:rPr>
        <w:object w:dxaOrig="3660" w:dyaOrig="440" w14:anchorId="4FCAF532">
          <v:shape id="_x0000_i1027" type="#_x0000_t75" style="width:182.3pt;height:22.05pt" o:ole="">
            <v:imagedata r:id="rId9" o:title=""/>
          </v:shape>
          <o:OLEObject Type="Embed" ProgID="Equation.DSMT4" ShapeID="_x0000_i1027" DrawAspect="Content" ObjectID="_1790580842" r:id="rId10"/>
        </w:object>
      </w:r>
    </w:p>
    <w:p w14:paraId="67BD82B5" w14:textId="76263741" w:rsidR="00F54A35" w:rsidRPr="000377A4" w:rsidRDefault="00F54A35" w:rsidP="00886D38">
      <w:pPr>
        <w:spacing w:line="320" w:lineRule="exact"/>
        <w:ind w:firstLineChars="0" w:firstLine="0"/>
        <w:jc w:val="both"/>
        <w:rPr>
          <w:rFonts w:eastAsia="黑体"/>
          <w:color w:val="000000" w:themeColor="text1"/>
        </w:rPr>
      </w:pPr>
      <w:r w:rsidRPr="000377A4">
        <w:rPr>
          <w:rFonts w:eastAsia="黑体"/>
          <w:i/>
          <w:iCs/>
          <w:color w:val="000000" w:themeColor="text1"/>
        </w:rPr>
        <w:t>Pf</w:t>
      </w:r>
      <w:r w:rsidRPr="000377A4">
        <w:rPr>
          <w:rFonts w:eastAsia="黑体"/>
          <w:i/>
          <w:iCs/>
          <w:color w:val="000000" w:themeColor="text1"/>
          <w:vertAlign w:val="subscript"/>
        </w:rPr>
        <w:t>ij</w:t>
      </w:r>
      <w:r w:rsidRPr="000377A4">
        <w:rPr>
          <w:rFonts w:eastAsia="黑体"/>
          <w:color w:val="000000" w:themeColor="text1"/>
        </w:rPr>
        <w:t xml:space="preserve"> represents the population mobility of the grid cell in </w:t>
      </w:r>
      <w:r w:rsidRPr="000377A4">
        <w:rPr>
          <w:rFonts w:eastAsia="黑体"/>
          <w:i/>
          <w:iCs/>
          <w:color w:val="000000" w:themeColor="text1"/>
        </w:rPr>
        <w:t>i</w:t>
      </w:r>
      <w:r w:rsidRPr="000377A4">
        <w:rPr>
          <w:rFonts w:eastAsia="黑体"/>
          <w:color w:val="000000" w:themeColor="text1"/>
        </w:rPr>
        <w:t>-</w:t>
      </w:r>
      <w:r w:rsidRPr="000377A4">
        <w:rPr>
          <w:rFonts w:eastAsia="黑体"/>
          <w:i/>
          <w:iCs/>
          <w:color w:val="000000" w:themeColor="text1"/>
        </w:rPr>
        <w:t>th</w:t>
      </w:r>
      <w:r w:rsidRPr="000377A4">
        <w:rPr>
          <w:rFonts w:eastAsia="黑体"/>
          <w:color w:val="000000" w:themeColor="text1"/>
        </w:rPr>
        <w:t xml:space="preserve"> row and </w:t>
      </w:r>
      <w:r w:rsidRPr="000377A4">
        <w:rPr>
          <w:rFonts w:eastAsia="黑体"/>
          <w:i/>
          <w:iCs/>
          <w:color w:val="000000" w:themeColor="text1"/>
        </w:rPr>
        <w:t>j</w:t>
      </w:r>
      <w:r w:rsidRPr="000377A4">
        <w:rPr>
          <w:rFonts w:eastAsia="黑体"/>
          <w:color w:val="000000" w:themeColor="text1"/>
        </w:rPr>
        <w:t>-</w:t>
      </w:r>
      <w:r w:rsidRPr="000377A4">
        <w:rPr>
          <w:rFonts w:eastAsia="黑体"/>
          <w:i/>
          <w:iCs/>
          <w:color w:val="000000" w:themeColor="text1"/>
        </w:rPr>
        <w:t>th</w:t>
      </w:r>
      <w:r w:rsidRPr="000377A4">
        <w:rPr>
          <w:rFonts w:eastAsia="黑体"/>
          <w:color w:val="000000" w:themeColor="text1"/>
        </w:rPr>
        <w:t xml:space="preserve"> column. </w:t>
      </w:r>
      <w:r w:rsidRPr="000377A4">
        <w:rPr>
          <w:rFonts w:eastAsia="黑体"/>
          <w:i/>
          <w:iCs/>
          <w:color w:val="000000" w:themeColor="text1"/>
        </w:rPr>
        <w:t>pop</w:t>
      </w:r>
      <w:r w:rsidRPr="000377A4">
        <w:rPr>
          <w:rFonts w:eastAsia="黑体"/>
          <w:i/>
          <w:iCs/>
          <w:color w:val="000000" w:themeColor="text1"/>
          <w:vertAlign w:val="subscript"/>
        </w:rPr>
        <w:t xml:space="preserve">ij </w:t>
      </w:r>
      <w:r w:rsidRPr="000377A4">
        <w:rPr>
          <w:rFonts w:eastAsia="黑体"/>
          <w:color w:val="000000" w:themeColor="text1"/>
        </w:rPr>
        <w:t xml:space="preserve">(r&lt;=2) denotes the population mobility within a 2000-meter neighborhood centered on the grid cell in the </w:t>
      </w:r>
      <w:r w:rsidRPr="000377A4">
        <w:rPr>
          <w:rFonts w:eastAsia="黑体"/>
          <w:i/>
          <w:iCs/>
          <w:color w:val="000000" w:themeColor="text1"/>
        </w:rPr>
        <w:t>i</w:t>
      </w:r>
      <w:r w:rsidRPr="000377A4">
        <w:rPr>
          <w:rFonts w:eastAsia="黑体"/>
          <w:color w:val="000000" w:themeColor="text1"/>
        </w:rPr>
        <w:t>-</w:t>
      </w:r>
      <w:r w:rsidRPr="000377A4">
        <w:rPr>
          <w:rFonts w:eastAsia="黑体"/>
          <w:i/>
          <w:iCs/>
          <w:color w:val="000000" w:themeColor="text1"/>
        </w:rPr>
        <w:t>th</w:t>
      </w:r>
      <w:r w:rsidRPr="000377A4">
        <w:rPr>
          <w:rFonts w:eastAsia="黑体"/>
          <w:color w:val="000000" w:themeColor="text1"/>
        </w:rPr>
        <w:t xml:space="preserve"> row and </w:t>
      </w:r>
      <w:r w:rsidRPr="000377A4">
        <w:rPr>
          <w:rFonts w:eastAsia="黑体"/>
          <w:i/>
          <w:iCs/>
          <w:color w:val="000000" w:themeColor="text1"/>
        </w:rPr>
        <w:t>j</w:t>
      </w:r>
      <w:r w:rsidRPr="000377A4">
        <w:rPr>
          <w:rFonts w:eastAsia="黑体"/>
          <w:color w:val="000000" w:themeColor="text1"/>
        </w:rPr>
        <w:t>-</w:t>
      </w:r>
      <w:r w:rsidRPr="000377A4">
        <w:rPr>
          <w:rFonts w:eastAsia="黑体"/>
          <w:i/>
          <w:iCs/>
          <w:color w:val="000000" w:themeColor="text1"/>
        </w:rPr>
        <w:t>th</w:t>
      </w:r>
      <w:r w:rsidRPr="000377A4">
        <w:rPr>
          <w:rFonts w:eastAsia="黑体"/>
          <w:color w:val="000000" w:themeColor="text1"/>
        </w:rPr>
        <w:t xml:space="preserve"> column. Conversely, </w:t>
      </w:r>
      <w:r w:rsidRPr="000377A4">
        <w:rPr>
          <w:rFonts w:eastAsia="黑体"/>
          <w:i/>
          <w:iCs/>
          <w:color w:val="000000" w:themeColor="text1"/>
        </w:rPr>
        <w:t>pop</w:t>
      </w:r>
      <w:r w:rsidRPr="000377A4">
        <w:rPr>
          <w:rFonts w:eastAsia="黑体"/>
          <w:i/>
          <w:iCs/>
          <w:color w:val="000000" w:themeColor="text1"/>
          <w:vertAlign w:val="subscript"/>
        </w:rPr>
        <w:t>ij</w:t>
      </w:r>
      <w:r w:rsidRPr="000377A4">
        <w:rPr>
          <w:rFonts w:eastAsia="黑体"/>
          <w:color w:val="000000" w:themeColor="text1"/>
        </w:rPr>
        <w:t xml:space="preserve"> (r&gt;2) refers to the population mobility crossing the neighborhood.</w:t>
      </w:r>
    </w:p>
    <w:p w14:paraId="69A11E84" w14:textId="77777777" w:rsidR="00F54A35" w:rsidRPr="00F54A35" w:rsidRDefault="00F54A35" w:rsidP="00886D38">
      <w:pPr>
        <w:spacing w:line="320" w:lineRule="exact"/>
        <w:jc w:val="both"/>
        <w:rPr>
          <w:rFonts w:eastAsia="黑体"/>
        </w:rPr>
      </w:pPr>
    </w:p>
    <w:p w14:paraId="21423905" w14:textId="1CCCBDEA" w:rsidR="00B31D75" w:rsidRDefault="006877B9" w:rsidP="007704F0">
      <w:pPr>
        <w:spacing w:line="240" w:lineRule="auto"/>
        <w:jc w:val="both"/>
        <w:rPr>
          <w:rFonts w:eastAsia="黑体" w:hint="eastAsia"/>
          <w:color w:val="000000" w:themeColor="text1"/>
        </w:rPr>
      </w:pPr>
      <w:r w:rsidRPr="006877B9">
        <w:rPr>
          <w:rFonts w:eastAsia="黑体" w:hint="eastAsia"/>
          <w:color w:val="000000" w:themeColor="text1"/>
        </w:rPr>
        <w:t xml:space="preserve">The MATLAB code for computing the above </w:t>
      </w:r>
      <w:r w:rsidRPr="002A58EB">
        <w:rPr>
          <w:rFonts w:eastAsia="黑体"/>
          <w:color w:val="000000" w:themeColor="text1"/>
        </w:rPr>
        <w:t>equations</w:t>
      </w:r>
      <w:r>
        <w:rPr>
          <w:rFonts w:eastAsia="黑体" w:hint="eastAsia"/>
          <w:color w:val="000000" w:themeColor="text1"/>
        </w:rPr>
        <w:t xml:space="preserve"> in the a</w:t>
      </w:r>
      <w:r w:rsidRPr="006877B9">
        <w:rPr>
          <w:rFonts w:eastAsia="黑体"/>
          <w:color w:val="000000" w:themeColor="text1"/>
        </w:rPr>
        <w:t>ttachments folder</w:t>
      </w:r>
      <w:r>
        <w:rPr>
          <w:rFonts w:eastAsia="黑体" w:hint="eastAsia"/>
          <w:color w:val="000000" w:themeColor="text1"/>
        </w:rPr>
        <w:t>s</w:t>
      </w:r>
      <w:r w:rsidR="00202C40">
        <w:rPr>
          <w:rFonts w:eastAsia="黑体" w:hint="eastAsia"/>
          <w:color w:val="000000" w:themeColor="text1"/>
        </w:rPr>
        <w:t>, respectively.</w:t>
      </w:r>
      <w:r w:rsidR="00E43E52" w:rsidRPr="00E43E52">
        <w:t xml:space="preserve"> </w:t>
      </w:r>
      <w:r w:rsidR="00EA33CA">
        <w:rPr>
          <w:rFonts w:hint="eastAsia"/>
        </w:rPr>
        <w:t xml:space="preserve">Note: </w:t>
      </w:r>
      <w:r w:rsidR="006B5ADD">
        <w:rPr>
          <w:rFonts w:eastAsia="黑体" w:hint="eastAsia"/>
          <w:color w:val="000000" w:themeColor="text1"/>
        </w:rPr>
        <w:t>t</w:t>
      </w:r>
      <w:r w:rsidR="00E43E52" w:rsidRPr="00E43E52">
        <w:rPr>
          <w:rFonts w:eastAsia="黑体"/>
          <w:color w:val="000000" w:themeColor="text1"/>
        </w:rPr>
        <w:t>he third code run will last about 4 minutes</w:t>
      </w:r>
      <w:r w:rsidR="00984775">
        <w:rPr>
          <w:rFonts w:eastAsia="黑体" w:hint="eastAsia"/>
          <w:color w:val="000000" w:themeColor="text1"/>
        </w:rPr>
        <w:t>.</w:t>
      </w:r>
    </w:p>
    <w:p w14:paraId="5CBC99F4" w14:textId="77777777" w:rsidR="007704F0" w:rsidRPr="006877B9" w:rsidRDefault="007704F0" w:rsidP="007704F0">
      <w:pPr>
        <w:spacing w:line="240" w:lineRule="auto"/>
        <w:jc w:val="both"/>
        <w:rPr>
          <w:rFonts w:eastAsia="黑体" w:hint="eastAsia"/>
          <w:color w:val="000000" w:themeColor="text1"/>
        </w:rPr>
      </w:pPr>
    </w:p>
    <w:sectPr w:rsidR="007704F0" w:rsidRPr="00687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12D"/>
    <w:rsid w:val="0000391C"/>
    <w:rsid w:val="00004259"/>
    <w:rsid w:val="00025A26"/>
    <w:rsid w:val="00031F58"/>
    <w:rsid w:val="000377A4"/>
    <w:rsid w:val="000442E4"/>
    <w:rsid w:val="0008631B"/>
    <w:rsid w:val="00112788"/>
    <w:rsid w:val="001158CF"/>
    <w:rsid w:val="001268B5"/>
    <w:rsid w:val="00135DFA"/>
    <w:rsid w:val="00175AED"/>
    <w:rsid w:val="001771C0"/>
    <w:rsid w:val="001A00B7"/>
    <w:rsid w:val="00202C40"/>
    <w:rsid w:val="002056B6"/>
    <w:rsid w:val="00207872"/>
    <w:rsid w:val="00222254"/>
    <w:rsid w:val="00277E78"/>
    <w:rsid w:val="00282819"/>
    <w:rsid w:val="002A58EB"/>
    <w:rsid w:val="002C4939"/>
    <w:rsid w:val="002D5914"/>
    <w:rsid w:val="002E3175"/>
    <w:rsid w:val="002F2AE7"/>
    <w:rsid w:val="002F75C4"/>
    <w:rsid w:val="00317177"/>
    <w:rsid w:val="0032646F"/>
    <w:rsid w:val="003F1B30"/>
    <w:rsid w:val="00473DB5"/>
    <w:rsid w:val="004A32C5"/>
    <w:rsid w:val="004A3FFC"/>
    <w:rsid w:val="004B279B"/>
    <w:rsid w:val="004D4B1F"/>
    <w:rsid w:val="00537D49"/>
    <w:rsid w:val="005631AA"/>
    <w:rsid w:val="00596A91"/>
    <w:rsid w:val="005C3DC3"/>
    <w:rsid w:val="006230B7"/>
    <w:rsid w:val="0062312D"/>
    <w:rsid w:val="00654574"/>
    <w:rsid w:val="00675FFA"/>
    <w:rsid w:val="006877B9"/>
    <w:rsid w:val="006A00E1"/>
    <w:rsid w:val="006B5ADD"/>
    <w:rsid w:val="006D79AA"/>
    <w:rsid w:val="00701AC4"/>
    <w:rsid w:val="00714633"/>
    <w:rsid w:val="00743665"/>
    <w:rsid w:val="00765709"/>
    <w:rsid w:val="007704F0"/>
    <w:rsid w:val="007B689D"/>
    <w:rsid w:val="007B708F"/>
    <w:rsid w:val="007C38CF"/>
    <w:rsid w:val="007D0A9F"/>
    <w:rsid w:val="007D3A49"/>
    <w:rsid w:val="007E24FD"/>
    <w:rsid w:val="00824799"/>
    <w:rsid w:val="008720D7"/>
    <w:rsid w:val="00886D38"/>
    <w:rsid w:val="00984775"/>
    <w:rsid w:val="00995EB9"/>
    <w:rsid w:val="009A0851"/>
    <w:rsid w:val="009D13EF"/>
    <w:rsid w:val="00A31283"/>
    <w:rsid w:val="00A765B6"/>
    <w:rsid w:val="00A86E6F"/>
    <w:rsid w:val="00AB0127"/>
    <w:rsid w:val="00AB5187"/>
    <w:rsid w:val="00AF433A"/>
    <w:rsid w:val="00B0781F"/>
    <w:rsid w:val="00B17F5F"/>
    <w:rsid w:val="00B20384"/>
    <w:rsid w:val="00B31D75"/>
    <w:rsid w:val="00B6400C"/>
    <w:rsid w:val="00BA1F3B"/>
    <w:rsid w:val="00BF46BE"/>
    <w:rsid w:val="00C040C4"/>
    <w:rsid w:val="00C0483C"/>
    <w:rsid w:val="00C466EB"/>
    <w:rsid w:val="00C9228E"/>
    <w:rsid w:val="00C92EFB"/>
    <w:rsid w:val="00CD44C0"/>
    <w:rsid w:val="00CD58FE"/>
    <w:rsid w:val="00CE4B9D"/>
    <w:rsid w:val="00D61355"/>
    <w:rsid w:val="00D7539E"/>
    <w:rsid w:val="00D75913"/>
    <w:rsid w:val="00D91D1A"/>
    <w:rsid w:val="00DB0B51"/>
    <w:rsid w:val="00DD128F"/>
    <w:rsid w:val="00DE794B"/>
    <w:rsid w:val="00E43E52"/>
    <w:rsid w:val="00E4631E"/>
    <w:rsid w:val="00E67091"/>
    <w:rsid w:val="00EA0892"/>
    <w:rsid w:val="00EA33CA"/>
    <w:rsid w:val="00EA75B9"/>
    <w:rsid w:val="00EE56D7"/>
    <w:rsid w:val="00F34A07"/>
    <w:rsid w:val="00F44CB9"/>
    <w:rsid w:val="00F54A35"/>
    <w:rsid w:val="00F76AF5"/>
    <w:rsid w:val="00FA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4A36"/>
  <w15:chartTrackingRefBased/>
  <w15:docId w15:val="{038BED08-69B2-4B32-AB68-B4031FE2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81F"/>
    <w:pPr>
      <w:widowControl w:val="0"/>
      <w:overflowPunct w:val="0"/>
      <w:spacing w:line="280" w:lineRule="exact"/>
      <w:ind w:firstLineChars="200" w:firstLine="480"/>
    </w:pPr>
    <w:rPr>
      <w:rFonts w:eastAsia="方正姚体"/>
      <w:color w:val="FF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nhideWhenUsed/>
    <w:rsid w:val="00222254"/>
    <w:pPr>
      <w:snapToGrid w:val="0"/>
      <w:spacing w:line="320" w:lineRule="exact"/>
    </w:pPr>
    <w:rPr>
      <w:sz w:val="18"/>
      <w:szCs w:val="18"/>
    </w:rPr>
  </w:style>
  <w:style w:type="character" w:customStyle="1" w:styleId="a4">
    <w:name w:val="脚注文本 字符"/>
    <w:basedOn w:val="a0"/>
    <w:link w:val="a3"/>
    <w:rsid w:val="00222254"/>
    <w:rPr>
      <w:rFonts w:ascii="Times New Roman" w:eastAsia="宋体" w:hAnsi="Times New Roman"/>
      <w:sz w:val="18"/>
      <w:szCs w:val="18"/>
    </w:rPr>
  </w:style>
  <w:style w:type="paragraph" w:customStyle="1" w:styleId="2">
    <w:name w:val="样式2"/>
    <w:basedOn w:val="a3"/>
    <w:link w:val="20"/>
    <w:qFormat/>
    <w:rsid w:val="00222254"/>
    <w:pPr>
      <w:overflowPunct/>
      <w:spacing w:line="240" w:lineRule="auto"/>
    </w:pPr>
  </w:style>
  <w:style w:type="character" w:customStyle="1" w:styleId="20">
    <w:name w:val="样式2 字符"/>
    <w:basedOn w:val="a4"/>
    <w:link w:val="2"/>
    <w:rsid w:val="0022225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jpeg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XIN LI</cp:lastModifiedBy>
  <cp:revision>134</cp:revision>
  <dcterms:created xsi:type="dcterms:W3CDTF">2024-10-16T02:06:00Z</dcterms:created>
  <dcterms:modified xsi:type="dcterms:W3CDTF">2024-10-16T02:47:00Z</dcterms:modified>
</cp:coreProperties>
</file>