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2694"/>
        <w:gridCol w:w="8505"/>
      </w:tblGrid>
      <w:tr w:rsidR="003D17A5" w:rsidTr="00F32A4E">
        <w:tc>
          <w:tcPr>
            <w:tcW w:w="2694" w:type="dxa"/>
          </w:tcPr>
          <w:p w:rsidR="003D17A5" w:rsidRDefault="003D17A5" w:rsidP="003D17A5">
            <w:pPr>
              <w:spacing w:after="160" w:line="259" w:lineRule="auto"/>
            </w:pPr>
            <w:r>
              <w:t>&lt;</w:t>
            </w:r>
            <w:proofErr w:type="spellStart"/>
            <w:r>
              <w:t>section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3D17A5" w:rsidP="003D17A5">
            <w:pPr>
              <w:spacing w:after="160" w:line="259" w:lineRule="auto"/>
              <w:jc w:val="both"/>
            </w:pPr>
            <w:r>
              <w:t>Representa um documento genérico ou seção da aplicação. Pode ser usado</w:t>
            </w:r>
            <w:r>
              <w:t xml:space="preserve"> </w:t>
            </w:r>
            <w:r>
              <w:t>em conjunto com os elementos &lt;h1&gt;, &lt;h2&gt;, &lt;h3&gt;, &lt;h4&gt;, &lt;h5&gt; e &lt;h6&gt;</w:t>
            </w:r>
            <w:r>
              <w:t xml:space="preserve"> </w:t>
            </w:r>
            <w:r>
              <w:t>para indicar a estrutura do documento.</w:t>
            </w:r>
          </w:p>
        </w:tc>
      </w:tr>
      <w:tr w:rsidR="003D17A5" w:rsidTr="00F32A4E">
        <w:tc>
          <w:tcPr>
            <w:tcW w:w="2694" w:type="dxa"/>
          </w:tcPr>
          <w:p w:rsidR="003D17A5" w:rsidRDefault="003D17A5">
            <w:r>
              <w:t>&lt;</w:t>
            </w:r>
            <w:proofErr w:type="spellStart"/>
            <w:r>
              <w:t>article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3D17A5" w:rsidP="003D17A5">
            <w:pPr>
              <w:spacing w:after="160" w:line="259" w:lineRule="auto"/>
            </w:pPr>
            <w:r>
              <w:t>Representa uma peça independente do</w:t>
            </w:r>
            <w:r>
              <w:t xml:space="preserve"> c</w:t>
            </w:r>
            <w:r>
              <w:t>onteúdo de um documento, como um</w:t>
            </w:r>
            <w:r>
              <w:t xml:space="preserve"> </w:t>
            </w:r>
            <w:r>
              <w:t>blog ou artigo de jornal.</w:t>
            </w:r>
          </w:p>
        </w:tc>
      </w:tr>
      <w:tr w:rsidR="003D17A5" w:rsidTr="00F32A4E">
        <w:tc>
          <w:tcPr>
            <w:tcW w:w="2694" w:type="dxa"/>
          </w:tcPr>
          <w:p w:rsidR="003D17A5" w:rsidRDefault="003D17A5">
            <w:r>
              <w:t>&lt;</w:t>
            </w:r>
            <w:proofErr w:type="spellStart"/>
            <w:r>
              <w:t>aside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3D17A5" w:rsidP="003D17A5">
            <w:pPr>
              <w:spacing w:after="160" w:line="259" w:lineRule="auto"/>
            </w:pPr>
            <w:r>
              <w:t>Representa uma parte do conteúdo que é</w:t>
            </w:r>
            <w:r>
              <w:t xml:space="preserve"> p</w:t>
            </w:r>
            <w:r>
              <w:t>ouco relacionado com o resto da</w:t>
            </w:r>
            <w:r>
              <w:t xml:space="preserve"> </w:t>
            </w:r>
            <w:r>
              <w:t>página.</w:t>
            </w:r>
          </w:p>
        </w:tc>
      </w:tr>
      <w:tr w:rsidR="003D17A5" w:rsidTr="00F32A4E">
        <w:tc>
          <w:tcPr>
            <w:tcW w:w="2694" w:type="dxa"/>
          </w:tcPr>
          <w:p w:rsidR="003D17A5" w:rsidRDefault="003D17A5">
            <w:r>
              <w:t>&lt;</w:t>
            </w:r>
            <w:proofErr w:type="spellStart"/>
            <w:r>
              <w:t>hgroup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3D17A5" w:rsidP="003D17A5">
            <w:pPr>
              <w:spacing w:after="160" w:line="259" w:lineRule="auto"/>
            </w:pPr>
            <w:r>
              <w:t>Representa o cabeçalho de uma seção.</w:t>
            </w:r>
          </w:p>
        </w:tc>
      </w:tr>
      <w:tr w:rsidR="003D17A5" w:rsidTr="00F32A4E">
        <w:tc>
          <w:tcPr>
            <w:tcW w:w="2694" w:type="dxa"/>
          </w:tcPr>
          <w:p w:rsidR="003D17A5" w:rsidRDefault="003D17A5">
            <w:r>
              <w:t>&lt;header&gt;</w:t>
            </w:r>
          </w:p>
        </w:tc>
        <w:tc>
          <w:tcPr>
            <w:tcW w:w="8505" w:type="dxa"/>
          </w:tcPr>
          <w:p w:rsidR="003D17A5" w:rsidRDefault="003D17A5" w:rsidP="003D17A5">
            <w:pPr>
              <w:spacing w:after="160" w:line="259" w:lineRule="auto"/>
            </w:pPr>
            <w:r>
              <w:t>Representa um grupo de introdução ou</w:t>
            </w:r>
            <w:r>
              <w:t xml:space="preserve"> </w:t>
            </w:r>
            <w:r>
              <w:t>cabeçalho de uma seção.</w:t>
            </w:r>
          </w:p>
        </w:tc>
      </w:tr>
      <w:tr w:rsidR="003D17A5" w:rsidTr="00F32A4E">
        <w:tc>
          <w:tcPr>
            <w:tcW w:w="2694" w:type="dxa"/>
          </w:tcPr>
          <w:p w:rsidR="003D17A5" w:rsidRDefault="003D17A5">
            <w:r>
              <w:t>&lt;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841432" w:rsidP="00841432">
            <w:pPr>
              <w:spacing w:after="160" w:line="259" w:lineRule="auto"/>
            </w:pPr>
            <w:r>
              <w:t>Representa um rodapé de uma seção e pode conter informações sobre o autor, direitos autorais, etc.</w:t>
            </w:r>
          </w:p>
        </w:tc>
      </w:tr>
      <w:tr w:rsidR="003D17A5" w:rsidTr="00F32A4E">
        <w:tc>
          <w:tcPr>
            <w:tcW w:w="2694" w:type="dxa"/>
          </w:tcPr>
          <w:p w:rsidR="003D17A5" w:rsidRDefault="00841432"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841432" w:rsidP="00841432">
            <w:pPr>
              <w:spacing w:after="160" w:line="259" w:lineRule="auto"/>
            </w:pPr>
            <w:r>
              <w:t>Representa uma seção do documento destinada à navegação.</w:t>
            </w:r>
          </w:p>
        </w:tc>
      </w:tr>
      <w:tr w:rsidR="003D17A5" w:rsidTr="00F32A4E">
        <w:tc>
          <w:tcPr>
            <w:tcW w:w="2694" w:type="dxa"/>
          </w:tcPr>
          <w:p w:rsidR="003D17A5" w:rsidRDefault="00841432" w:rsidP="00841432">
            <w:r>
              <w:t>&lt;figure&gt;</w:t>
            </w:r>
          </w:p>
        </w:tc>
        <w:tc>
          <w:tcPr>
            <w:tcW w:w="8505" w:type="dxa"/>
          </w:tcPr>
          <w:p w:rsidR="003D17A5" w:rsidRDefault="00841432" w:rsidP="00841432">
            <w:pPr>
              <w:spacing w:after="160" w:line="259" w:lineRule="auto"/>
            </w:pPr>
            <w:r>
              <w:t>Representa uma parte do conteúdo de fluxo auto suficiente</w:t>
            </w:r>
            <w:r>
              <w:t>.</w:t>
            </w:r>
          </w:p>
        </w:tc>
      </w:tr>
      <w:tr w:rsidR="003D17A5" w:rsidTr="00F32A4E">
        <w:tc>
          <w:tcPr>
            <w:tcW w:w="2694" w:type="dxa"/>
          </w:tcPr>
          <w:p w:rsidR="003D17A5" w:rsidRDefault="00841432" w:rsidP="00841432">
            <w:pPr>
              <w:tabs>
                <w:tab w:val="left" w:pos="1530"/>
              </w:tabs>
              <w:spacing w:after="160" w:line="259" w:lineRule="auto"/>
            </w:pPr>
            <w:r>
              <w:t>&lt;</w:t>
            </w:r>
            <w:proofErr w:type="spellStart"/>
            <w:r>
              <w:t>figcaption</w:t>
            </w:r>
            <w:proofErr w:type="spellEnd"/>
            <w:r>
              <w:t>&gt;</w:t>
            </w:r>
            <w:r>
              <w:tab/>
            </w:r>
          </w:p>
        </w:tc>
        <w:tc>
          <w:tcPr>
            <w:tcW w:w="8505" w:type="dxa"/>
          </w:tcPr>
          <w:p w:rsidR="00841432" w:rsidRDefault="00841432" w:rsidP="00841432">
            <w:r>
              <w:t>Representa um rótulo para o elemento &lt;figure&gt;.</w:t>
            </w:r>
          </w:p>
          <w:p w:rsidR="00841432" w:rsidRDefault="00841432" w:rsidP="00841432">
            <w:r>
              <w:t>Exemplo:</w:t>
            </w:r>
          </w:p>
          <w:p w:rsidR="00841432" w:rsidRDefault="00841432" w:rsidP="00841432">
            <w:r>
              <w:t>&lt;figure&gt;</w:t>
            </w:r>
          </w:p>
          <w:p w:rsidR="00841432" w:rsidRDefault="00841432" w:rsidP="00841432">
            <w:r>
              <w:t xml:space="preserve">&lt;vídeo </w:t>
            </w:r>
            <w:proofErr w:type="spellStart"/>
            <w:r>
              <w:t>src</w:t>
            </w:r>
            <w:proofErr w:type="spellEnd"/>
            <w:proofErr w:type="gramStart"/>
            <w:r>
              <w:t>=”</w:t>
            </w:r>
            <w:proofErr w:type="spellStart"/>
            <w:r>
              <w:t>nome</w:t>
            </w:r>
            <w:proofErr w:type="gramEnd"/>
            <w:r>
              <w:t>_do_arquivo_de_video</w:t>
            </w:r>
            <w:proofErr w:type="spellEnd"/>
            <w:r>
              <w:t>”&gt;&lt;/</w:t>
            </w:r>
            <w:proofErr w:type="spellStart"/>
            <w:r>
              <w:t>video</w:t>
            </w:r>
            <w:proofErr w:type="spellEnd"/>
            <w:r>
              <w:t>&gt;</w:t>
            </w:r>
          </w:p>
          <w:p w:rsidR="00841432" w:rsidRDefault="00841432" w:rsidP="00841432">
            <w:r>
              <w:t>&lt;</w:t>
            </w:r>
            <w:proofErr w:type="spellStart"/>
            <w:r>
              <w:t>figcaption</w:t>
            </w:r>
            <w:proofErr w:type="spellEnd"/>
            <w:r>
              <w:t>&gt;Universidade Cruzeiro do Sul&lt;/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  <w:p w:rsidR="003D17A5" w:rsidRDefault="00841432" w:rsidP="00841432">
            <w:pPr>
              <w:spacing w:after="160" w:line="259" w:lineRule="auto"/>
            </w:pPr>
            <w:r>
              <w:t>&lt;/figure&gt;</w:t>
            </w:r>
          </w:p>
        </w:tc>
      </w:tr>
      <w:tr w:rsidR="003D17A5" w:rsidTr="00F32A4E">
        <w:tc>
          <w:tcPr>
            <w:tcW w:w="2694" w:type="dxa"/>
          </w:tcPr>
          <w:p w:rsidR="003D17A5" w:rsidRDefault="00841432" w:rsidP="00841432">
            <w:r>
              <w:t>&lt;</w:t>
            </w:r>
            <w:proofErr w:type="spellStart"/>
            <w:r>
              <w:t>audio</w:t>
            </w:r>
            <w:proofErr w:type="spellEnd"/>
            <w:r>
              <w:t>&gt; e &lt;</w:t>
            </w:r>
            <w:proofErr w:type="spellStart"/>
            <w:r>
              <w:t>video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841432" w:rsidP="00841432">
            <w:pPr>
              <w:spacing w:after="160" w:line="259" w:lineRule="auto"/>
            </w:pPr>
            <w:r>
              <w:t xml:space="preserve">Representa conteúdos multimídias. Ambos fornecem uma API que pode ser acessada pelos desenvolvedores por scripts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3D17A5" w:rsidTr="00F32A4E">
        <w:tc>
          <w:tcPr>
            <w:tcW w:w="2694" w:type="dxa"/>
          </w:tcPr>
          <w:p w:rsidR="003D17A5" w:rsidRDefault="00841432">
            <w:r>
              <w:t>&lt;</w:t>
            </w:r>
            <w:proofErr w:type="spellStart"/>
            <w:r>
              <w:t>embed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841432" w:rsidP="00841432">
            <w:pPr>
              <w:spacing w:after="160" w:line="259" w:lineRule="auto"/>
            </w:pPr>
            <w:r>
              <w:t>Representa conteúdo incorporado, como um plugin.</w:t>
            </w:r>
          </w:p>
        </w:tc>
      </w:tr>
      <w:tr w:rsidR="003D17A5" w:rsidTr="00F32A4E">
        <w:tc>
          <w:tcPr>
            <w:tcW w:w="2694" w:type="dxa"/>
          </w:tcPr>
          <w:p w:rsidR="003D17A5" w:rsidRDefault="00841432" w:rsidP="00841432">
            <w:r>
              <w:t>&lt;</w:t>
            </w:r>
            <w:proofErr w:type="spellStart"/>
            <w:r>
              <w:t>mark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841432" w:rsidP="00841432">
            <w:pPr>
              <w:spacing w:after="160" w:line="259" w:lineRule="auto"/>
            </w:pPr>
            <w:r>
              <w:t>Representa um texto marcado ou destacado para fins de referência.</w:t>
            </w:r>
          </w:p>
        </w:tc>
      </w:tr>
      <w:tr w:rsidR="003D17A5" w:rsidTr="00F32A4E">
        <w:tc>
          <w:tcPr>
            <w:tcW w:w="2694" w:type="dxa"/>
          </w:tcPr>
          <w:p w:rsidR="003D17A5" w:rsidRDefault="00F32A4E">
            <w:r>
              <w:t>&lt;</w:t>
            </w:r>
            <w:proofErr w:type="spellStart"/>
            <w:r>
              <w:t>progress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F32A4E" w:rsidRDefault="00F32A4E" w:rsidP="00F32A4E">
            <w:r>
              <w:t>Representa o estado de um trabalho em andamento ou a conclusão de uma tarefa como, por exemplo, um download.</w:t>
            </w:r>
          </w:p>
          <w:p w:rsidR="003D17A5" w:rsidRDefault="003D17A5" w:rsidP="00F32A4E">
            <w:pPr>
              <w:ind w:firstLine="708"/>
            </w:pPr>
          </w:p>
        </w:tc>
      </w:tr>
      <w:tr w:rsidR="003D17A5" w:rsidTr="00F32A4E">
        <w:tc>
          <w:tcPr>
            <w:tcW w:w="2694" w:type="dxa"/>
          </w:tcPr>
          <w:p w:rsidR="003D17A5" w:rsidRDefault="00F32A4E">
            <w:r>
              <w:t>&lt;meter&gt;</w:t>
            </w:r>
          </w:p>
        </w:tc>
        <w:tc>
          <w:tcPr>
            <w:tcW w:w="8505" w:type="dxa"/>
          </w:tcPr>
          <w:p w:rsidR="003D17A5" w:rsidRDefault="00F32A4E" w:rsidP="00F32A4E">
            <w:pPr>
              <w:spacing w:after="160" w:line="259" w:lineRule="auto"/>
            </w:pPr>
            <w:r>
              <w:t>Representa uma medida, como uso do disco. Deve ser usada somente se os valores máximos e mínimos são conhecidos.</w:t>
            </w:r>
          </w:p>
        </w:tc>
      </w:tr>
      <w:tr w:rsidR="00F32A4E" w:rsidTr="00F32A4E">
        <w:tc>
          <w:tcPr>
            <w:tcW w:w="2694" w:type="dxa"/>
          </w:tcPr>
          <w:p w:rsidR="00F32A4E" w:rsidRDefault="00F32A4E" w:rsidP="00F32A4E">
            <w:r w:rsidRPr="00AD424F">
              <w:t xml:space="preserve">&lt;time&gt; </w:t>
            </w:r>
          </w:p>
        </w:tc>
        <w:tc>
          <w:tcPr>
            <w:tcW w:w="8505" w:type="dxa"/>
          </w:tcPr>
          <w:p w:rsidR="00F32A4E" w:rsidRDefault="00F32A4E" w:rsidP="00F32A4E">
            <w:r w:rsidRPr="00AD424F">
              <w:t xml:space="preserve"> Para definir data, hora ou ambos.</w:t>
            </w:r>
          </w:p>
        </w:tc>
      </w:tr>
      <w:tr w:rsidR="003D17A5" w:rsidTr="00F32A4E">
        <w:tc>
          <w:tcPr>
            <w:tcW w:w="2694" w:type="dxa"/>
          </w:tcPr>
          <w:p w:rsidR="003D17A5" w:rsidRDefault="00F32A4E" w:rsidP="00F32A4E">
            <w:pPr>
              <w:spacing w:after="160" w:line="259" w:lineRule="auto"/>
            </w:pPr>
            <w:r>
              <w:t>&lt;</w:t>
            </w:r>
            <w:proofErr w:type="spellStart"/>
            <w:r>
              <w:t>ruby</w:t>
            </w:r>
            <w:proofErr w:type="spellEnd"/>
            <w:r>
              <w:t>&gt;, &lt;</w:t>
            </w:r>
            <w:proofErr w:type="spellStart"/>
            <w:r>
              <w:t>rt</w:t>
            </w:r>
            <w:proofErr w:type="spellEnd"/>
            <w:r>
              <w:t>&gt; e &lt;</w:t>
            </w:r>
            <w:proofErr w:type="spellStart"/>
            <w:r>
              <w:t>rp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F32A4E" w:rsidP="00F32A4E">
            <w:pPr>
              <w:spacing w:after="160" w:line="259" w:lineRule="auto"/>
            </w:pPr>
            <w:r>
              <w:t>Define a marcação de anotação para um texto base em idiomas orientais com o objetivo de definir a pronúncia correta do texto base ou informar sobre ele.</w:t>
            </w:r>
          </w:p>
        </w:tc>
      </w:tr>
      <w:tr w:rsidR="003D17A5" w:rsidTr="00F32A4E">
        <w:trPr>
          <w:trHeight w:val="453"/>
        </w:trPr>
        <w:tc>
          <w:tcPr>
            <w:tcW w:w="2694" w:type="dxa"/>
          </w:tcPr>
          <w:p w:rsidR="003D17A5" w:rsidRDefault="00F32A4E">
            <w:r>
              <w:t>&lt;</w:t>
            </w:r>
            <w:proofErr w:type="spellStart"/>
            <w:r>
              <w:t>bdi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F32A4E" w:rsidP="00F32A4E">
            <w:pPr>
              <w:spacing w:after="160" w:line="259" w:lineRule="auto"/>
            </w:pPr>
            <w:r>
              <w:t>Representa o intervalo de texto que deve ser isolado de seu entorno para efeitos de formatação de texto bidirecional.</w:t>
            </w:r>
          </w:p>
        </w:tc>
      </w:tr>
      <w:tr w:rsidR="003D17A5" w:rsidTr="00F32A4E">
        <w:tc>
          <w:tcPr>
            <w:tcW w:w="2694" w:type="dxa"/>
          </w:tcPr>
          <w:p w:rsidR="003D17A5" w:rsidRDefault="00F32A4E">
            <w:r>
              <w:t>&lt;</w:t>
            </w:r>
            <w:proofErr w:type="spellStart"/>
            <w:r>
              <w:t>wbr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3D17A5" w:rsidRDefault="00F32A4E" w:rsidP="00F32A4E">
            <w:pPr>
              <w:spacing w:after="160" w:line="259" w:lineRule="auto"/>
            </w:pPr>
            <w:r>
              <w:t>Representa uma oportunidade (possibilidade) de quebra de linha.</w:t>
            </w:r>
          </w:p>
        </w:tc>
      </w:tr>
      <w:tr w:rsidR="003D17A5" w:rsidTr="00F32A4E">
        <w:tc>
          <w:tcPr>
            <w:tcW w:w="2694" w:type="dxa"/>
          </w:tcPr>
          <w:p w:rsidR="003D17A5" w:rsidRDefault="00F32A4E">
            <w:r>
              <w:t>&lt;</w:t>
            </w:r>
            <w:proofErr w:type="spellStart"/>
            <w:r>
              <w:t>canvas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F32A4E" w:rsidRDefault="00F32A4E" w:rsidP="00F32A4E">
            <w:r>
              <w:t>É utilizada para renderização de gráficos bitmap dinâmicos, como gráficos ou</w:t>
            </w:r>
          </w:p>
          <w:p w:rsidR="003D17A5" w:rsidRDefault="00F32A4E" w:rsidP="00F32A4E">
            <w:pPr>
              <w:spacing w:after="160" w:line="259" w:lineRule="auto"/>
            </w:pPr>
            <w:r>
              <w:lastRenderedPageBreak/>
              <w:t xml:space="preserve">jogos. Isso é feito por meio de scripts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F32A4E" w:rsidTr="00F32A4E">
        <w:tc>
          <w:tcPr>
            <w:tcW w:w="2694" w:type="dxa"/>
          </w:tcPr>
          <w:p w:rsidR="00F32A4E" w:rsidRDefault="00F32A4E">
            <w:r>
              <w:lastRenderedPageBreak/>
              <w:t>&lt;</w:t>
            </w:r>
            <w:proofErr w:type="spellStart"/>
            <w:r>
              <w:t>command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F32A4E" w:rsidRDefault="00F32A4E" w:rsidP="00F32A4E">
            <w:pPr>
              <w:spacing w:after="160" w:line="259" w:lineRule="auto"/>
            </w:pPr>
            <w:r>
              <w:t>Representa um botão ou botão de opção, ou uma caixa de seleção que o usuário pode invocar.</w:t>
            </w:r>
          </w:p>
        </w:tc>
      </w:tr>
      <w:tr w:rsidR="00F32A4E" w:rsidTr="00F32A4E">
        <w:tc>
          <w:tcPr>
            <w:tcW w:w="2694" w:type="dxa"/>
          </w:tcPr>
          <w:p w:rsidR="00F32A4E" w:rsidRDefault="00F32A4E" w:rsidP="00F32A4E">
            <w:r>
              <w:t>&lt;</w:t>
            </w:r>
            <w:proofErr w:type="spellStart"/>
            <w:r>
              <w:t>details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F32A4E" w:rsidRDefault="00F32A4E" w:rsidP="00F32A4E">
            <w:pPr>
              <w:spacing w:after="160" w:line="259" w:lineRule="auto"/>
            </w:pPr>
            <w:r>
              <w:t>Usado para descrever os detalhes de um documento ou partes dele.</w:t>
            </w:r>
          </w:p>
        </w:tc>
      </w:tr>
      <w:tr w:rsidR="00F32A4E" w:rsidTr="00F32A4E">
        <w:tc>
          <w:tcPr>
            <w:tcW w:w="2694" w:type="dxa"/>
          </w:tcPr>
          <w:p w:rsidR="00F32A4E" w:rsidRDefault="00F32A4E">
            <w:r>
              <w:t>&lt;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F32A4E" w:rsidRDefault="004A641B" w:rsidP="00210552">
            <w:pPr>
              <w:spacing w:after="160" w:line="259" w:lineRule="auto"/>
            </w:pPr>
            <w:r>
              <w:t>j</w:t>
            </w:r>
            <w:r w:rsidR="00210552">
              <w:t xml:space="preserve">untamente com o novo atributo </w:t>
            </w:r>
            <w:proofErr w:type="spellStart"/>
            <w:r w:rsidR="00210552">
              <w:t>list</w:t>
            </w:r>
            <w:proofErr w:type="spellEnd"/>
            <w:r w:rsidR="00210552">
              <w:t xml:space="preserve"> do elemento &lt;input&gt;, pode ser utilizado</w:t>
            </w:r>
            <w:r>
              <w:t xml:space="preserve"> </w:t>
            </w:r>
            <w:r w:rsidR="00210552">
              <w:t>para criar caixas de combinação.</w:t>
            </w:r>
          </w:p>
        </w:tc>
      </w:tr>
      <w:tr w:rsidR="00F32A4E" w:rsidTr="00F32A4E">
        <w:tc>
          <w:tcPr>
            <w:tcW w:w="2694" w:type="dxa"/>
          </w:tcPr>
          <w:p w:rsidR="00F32A4E" w:rsidRDefault="00210552">
            <w:r>
              <w:t>&lt;</w:t>
            </w:r>
            <w:proofErr w:type="spellStart"/>
            <w:r>
              <w:t>keygen</w:t>
            </w:r>
            <w:proofErr w:type="spellEnd"/>
            <w:r>
              <w:t>&gt;</w:t>
            </w:r>
          </w:p>
        </w:tc>
        <w:tc>
          <w:tcPr>
            <w:tcW w:w="8505" w:type="dxa"/>
          </w:tcPr>
          <w:p w:rsidR="00F32A4E" w:rsidRDefault="00210552" w:rsidP="00210552">
            <w:pPr>
              <w:spacing w:after="160" w:line="259" w:lineRule="auto"/>
            </w:pPr>
            <w:r>
              <w:t>Permite gerar chaves para autenticar os usuários.</w:t>
            </w:r>
          </w:p>
        </w:tc>
      </w:tr>
      <w:tr w:rsidR="00F32A4E" w:rsidTr="00F32A4E">
        <w:tc>
          <w:tcPr>
            <w:tcW w:w="2694" w:type="dxa"/>
          </w:tcPr>
          <w:p w:rsidR="00F32A4E" w:rsidRDefault="00210552" w:rsidP="00210552">
            <w:r>
              <w:t>&lt;output&gt;</w:t>
            </w:r>
          </w:p>
        </w:tc>
        <w:tc>
          <w:tcPr>
            <w:tcW w:w="8505" w:type="dxa"/>
          </w:tcPr>
          <w:p w:rsidR="00F32A4E" w:rsidRDefault="00210552" w:rsidP="00210552">
            <w:pPr>
              <w:spacing w:after="160" w:line="259" w:lineRule="auto"/>
            </w:pPr>
            <w:r>
              <w:t>Representa os diferentes tipos de saída, como a saída escrita por um script.</w:t>
            </w:r>
          </w:p>
        </w:tc>
      </w:tr>
    </w:tbl>
    <w:p w:rsidR="008076EB" w:rsidRDefault="008076EB"/>
    <w:sectPr w:rsidR="008076E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9A8" w:rsidRDefault="00C049A8" w:rsidP="004A641B">
      <w:pPr>
        <w:spacing w:after="0" w:line="240" w:lineRule="auto"/>
      </w:pPr>
      <w:r>
        <w:separator/>
      </w:r>
    </w:p>
  </w:endnote>
  <w:endnote w:type="continuationSeparator" w:id="0">
    <w:p w:rsidR="00C049A8" w:rsidRDefault="00C049A8" w:rsidP="004A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9A8" w:rsidRDefault="00C049A8" w:rsidP="004A641B">
      <w:pPr>
        <w:spacing w:after="0" w:line="240" w:lineRule="auto"/>
      </w:pPr>
      <w:r>
        <w:separator/>
      </w:r>
    </w:p>
  </w:footnote>
  <w:footnote w:type="continuationSeparator" w:id="0">
    <w:p w:rsidR="00C049A8" w:rsidRDefault="00C049A8" w:rsidP="004A6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41B" w:rsidRPr="004A641B" w:rsidRDefault="004A641B" w:rsidP="004A641B">
    <w:pPr>
      <w:shd w:val="clear" w:color="auto" w:fill="FFA500"/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color w:val="FFFFFF"/>
        <w:kern w:val="36"/>
        <w:sz w:val="48"/>
        <w:szCs w:val="48"/>
        <w:lang w:eastAsia="pt-BR"/>
      </w:rPr>
    </w:pPr>
    <w:r w:rsidRPr="004A641B">
      <w:rPr>
        <w:rFonts w:ascii="Times New Roman" w:eastAsia="Times New Roman" w:hAnsi="Times New Roman" w:cs="Times New Roman"/>
        <w:b/>
        <w:bCs/>
        <w:color w:val="FFFFFF"/>
        <w:kern w:val="36"/>
        <w:sz w:val="48"/>
        <w:szCs w:val="48"/>
        <w:lang w:eastAsia="pt-BR"/>
      </w:rPr>
      <w:t>Novos elementos do HTML 5</w:t>
    </w:r>
  </w:p>
  <w:p w:rsidR="004A641B" w:rsidRDefault="004A64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A5"/>
    <w:rsid w:val="00210552"/>
    <w:rsid w:val="003D17A5"/>
    <w:rsid w:val="004A641B"/>
    <w:rsid w:val="008076EB"/>
    <w:rsid w:val="00841432"/>
    <w:rsid w:val="00C049A8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E5A5"/>
  <w15:chartTrackingRefBased/>
  <w15:docId w15:val="{8F82494C-7BC4-405A-9359-3AE8E5F3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A5"/>
  </w:style>
  <w:style w:type="paragraph" w:styleId="Ttulo1">
    <w:name w:val="heading 1"/>
    <w:basedOn w:val="Normal"/>
    <w:link w:val="Ttulo1Char"/>
    <w:uiPriority w:val="9"/>
    <w:qFormat/>
    <w:rsid w:val="004A6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A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41B"/>
  </w:style>
  <w:style w:type="paragraph" w:styleId="Rodap">
    <w:name w:val="footer"/>
    <w:basedOn w:val="Normal"/>
    <w:link w:val="RodapChar"/>
    <w:uiPriority w:val="99"/>
    <w:unhideWhenUsed/>
    <w:rsid w:val="004A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41B"/>
  </w:style>
  <w:style w:type="character" w:customStyle="1" w:styleId="Ttulo1Char">
    <w:name w:val="Título 1 Char"/>
    <w:basedOn w:val="Fontepargpadro"/>
    <w:link w:val="Ttulo1"/>
    <w:uiPriority w:val="9"/>
    <w:rsid w:val="004A64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CENCI Luan</dc:creator>
  <cp:keywords/>
  <dc:description/>
  <cp:lastModifiedBy>CENCI Luan</cp:lastModifiedBy>
  <cp:revision>2</cp:revision>
  <dcterms:created xsi:type="dcterms:W3CDTF">2023-02-01T19:10:00Z</dcterms:created>
  <dcterms:modified xsi:type="dcterms:W3CDTF">2023-02-01T20:31:00Z</dcterms:modified>
</cp:coreProperties>
</file>