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4f535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5357"/>
          <w:sz w:val="30"/>
          <w:szCs w:val="30"/>
          <w:highlight w:val="white"/>
          <w:rtl w:val="0"/>
        </w:rPr>
        <w:t xml:space="preserve">Análise de Qualidade da Caneta bic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color w:val="4f535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  <w:rtl w:val="0"/>
        </w:rPr>
        <w:t xml:space="preserve">Qualidade de Escrita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Tinta flui na escrita, sem falhar.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Os traços são nítidos e variam à medida em que é alterada a força aplicada ao escrever.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A tinta pode ser aplicada em materiais como: borracha, madeira, tecidos, plásticos.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  <w:rtl w:val="0"/>
        </w:rPr>
        <w:t xml:space="preserve">Durabilidade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Esfera da caneta é feita de carbureto de tungstênio, material quatro vezes mais resistente que o aço.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As tampas da caneta possuem encaixe bastante duradouro desde que não sejam deformadas.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Esta caneta dura em torno de 3 meses, ou mais, quando não exposta ao calor.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  <w:rtl w:val="0"/>
        </w:rPr>
        <w:t xml:space="preserve">Conforto e Ergonomia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Caneta confortável de se segurar.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É leve.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Possui corpo ergonômico de forma que não deslize ao escrever.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  <w:rtl w:val="0"/>
        </w:rPr>
        <w:t xml:space="preserve">Qualidade de Construção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A caneta vem em perfeito estado e sem “falhar” no primeiro uso, logo após a sua aquisição.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Ambas as tampas possuem encaixe firme.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5357"/>
          <w:sz w:val="24"/>
          <w:szCs w:val="24"/>
          <w:highlight w:val="white"/>
          <w:rtl w:val="0"/>
        </w:rPr>
        <w:t xml:space="preserve">Conformidade com Normas e Regulamentações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5357"/>
          <w:sz w:val="24"/>
          <w:szCs w:val="24"/>
          <w:highlight w:val="white"/>
          <w:rtl w:val="0"/>
        </w:rPr>
        <w:t xml:space="preserve">– De acordo com a  NBR 14725-4/2012 a tinta pertencente a caneta não oferece riscos a menos que seja ingerida ou entre em contato com os olhos.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