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366F1"/>
          <w:sz w:val="72"/>
          <w:szCs w:val="72"/>
        </w:rPr>
        <w:t xml:space="preserve">NEXQUANT</w:t>
      </w:r>
    </w:p>
    <w:p>
      <w:pPr>
        <w:spacing w:after="100"/>
        <w:jc w:val="center"/>
      </w:pPr>
      <w:r>
        <w:rPr>
          <w:rFonts w:ascii="Arial" w:cs="Arial" w:eastAsia="Arial" w:hAnsi="Arial"/>
          <w:color w:val="334155"/>
          <w:sz w:val="36"/>
          <w:szCs w:val="36"/>
        </w:rPr>
        <w:t xml:space="preserve">Deep Strategic Analysis</w:t>
      </w:r>
    </w:p>
    <w:p>
      <w:pPr>
        <w:spacing w:after="40"/>
        <w:jc w:val="center"/>
      </w:pPr>
      <w:r>
        <w:rPr>
          <w:rFonts w:ascii="Arial" w:cs="Arial" w:eastAsia="Arial" w:hAnsi="Arial"/>
          <w:color w:val="64748B"/>
          <w:sz w:val="24"/>
          <w:szCs w:val="24"/>
        </w:rPr>
        <w:t xml:space="preserve">Business Logic, Technical Architecture &amp; Scaling Roadmap</w:t>
      </w:r>
    </w:p>
    <w:p>
      <w:pPr>
        <w:pBdr>
          <w:bottom w:val="single" w:color="6366F1" w:sz="3" w:space="1"/>
        </w:pBdr>
        <w:spacing w:after="400" w:before="400"/>
        <w:jc w:val="center"/>
      </w:pPr>
    </w:p>
    <w:p>
      <w:pPr>
        <w:spacing w:after="80"/>
        <w:jc w:val="center"/>
      </w:pPr>
      <w:r>
        <w:rPr>
          <w:rFonts w:ascii="Arial" w:cs="Arial" w:eastAsia="Arial" w:hAnsi="Arial"/>
          <w:color w:val="64748B"/>
          <w:sz w:val="22"/>
          <w:szCs w:val="22"/>
        </w:rPr>
        <w:t xml:space="preserve">Marzo 2026  |  Documento Confidencial</w:t>
      </w:r>
    </w:p>
    <w:p>
      <w:pPr>
        <w:spacing w:after="80"/>
        <w:jc w:val="center"/>
      </w:pPr>
      <w:r>
        <w:rPr>
          <w:rFonts w:ascii="Arial" w:cs="Arial" w:eastAsia="Arial" w:hAnsi="Arial"/>
          <w:color w:val="64748B"/>
          <w:sz w:val="22"/>
          <w:szCs w:val="22"/>
        </w:rPr>
        <w:t xml:space="preserve">Preparado para: Equipo Fundador NexQuant</w:t>
      </w:r>
    </w:p>
    <w:p>
      <w:pPr>
        <w:sectPr>
          <w:pgSz w:w="12240" w:h="15840" w:orient="portrait"/>
          <w:pgMar w:top="1440" w:right="1440" w:bottom="1440" w:left="1440" w:header="708" w:footer="708" w:gutter="0"/>
          <w:pgNumType/>
          <w:docGrid w:linePitch="360"/>
        </w:sectPr>
      </w:pPr>
    </w:p>
    <w:p>
      <w:pPr>
        <w:pStyle w:val="Heading1"/>
      </w:pPr>
      <w:r>
        <w:t xml:space="preserve">PARTE I: Diagnóstico Estratégico</w:t>
      </w:r>
    </w:p>
    <w:p>
      <w:pPr>
        <w:pBdr>
          <w:bottom w:val="single" w:color="6366F1" w:sz="2" w:space="1"/>
        </w:pBdr>
        <w:spacing w:after="200" w:before="200"/>
      </w:pPr>
    </w:p>
    <w:p>
      <w:pPr>
        <w:pStyle w:val="Heading2"/>
      </w:pPr>
      <w:r>
        <w:t xml:space="preserve">1. Tesis de Negocio y Oportunidad de Mercado</w:t>
      </w:r>
    </w:p>
    <w:p>
      <w:pPr>
        <w:pStyle w:val="Heading3"/>
      </w:pPr>
      <w:r>
        <w:t xml:space="preserve">1.1 La Oportunidad</w:t>
      </w:r>
    </w:p>
    <w:p>
      <w:pPr>
        <w:spacing w:after="120" w:line="276"/>
      </w:pPr>
      <w:r>
        <w:rPr>
          <w:rFonts w:ascii="Arial" w:cs="Arial" w:eastAsia="Arial" w:hAnsi="Arial"/>
          <w:color w:val="0F172A"/>
          <w:sz w:val="22"/>
          <w:szCs w:val="22"/>
        </w:rPr>
        <w:t xml:space="preserve">NexQuant se posiciona en la intersección de tres mega-tendencias que están redefiniendo la industria financiera: la democratización del acceso a herramientas de inversión institucional, la adopción masiva de inteligencia artificial en trading, y la creciente demanda de los consumidores por automatización inteligente de sus finanzas.</w:t>
      </w:r>
    </w:p>
    <w:p>
      <w:pPr>
        <w:spacing w:after="120" w:line="276"/>
      </w:pPr>
      <w:r>
        <w:rPr>
          <w:rFonts w:ascii="Arial" w:cs="Arial" w:eastAsia="Arial" w:hAnsi="Arial"/>
          <w:color w:val="0F172A"/>
          <w:sz w:val="22"/>
          <w:szCs w:val="22"/>
        </w:rPr>
        <w:t xml:space="preserve">El mercado de AI trading alcanzará una valoración de $35 mil millones para 2030. El porcentaje de volumen retail ejecutado a través de plataformas asistidas por AI ha crecido del 12% en 2022 a más del 35% en 2025, y más del 80% de los hedge funds ahora emplean AI en algún aspecto de su proceso de inversión. Sin embargo, la mayoría de estas herramientas siguen siendo inaccesibles para el inversor promedio, requiriendo conocimientos técnicos avanzados, capital significativo, o ambos.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6"/>
              <w:bottom w:val="single" w:color="6366F1" w:sz="1"/>
              <w:right w:val="single" w:color="6366F1" w:sz="1"/>
            </w:tcBorders>
            <w:shd w:fill="EEF2FF" w:val="clear"/>
            <w:tcMar>
              <w:top w:type="dxa" w:w="120"/>
              <w:left w:type="dxa" w:w="200"/>
              <w:bottom w:type="dxa" w:w="120"/>
              <w:right w:type="dxa" w:w="200"/>
            </w:tcMar>
          </w:tcPr>
          <w:p>
            <w:pPr>
              <w:spacing w:after="60"/>
            </w:pPr>
            <w:r>
              <w:rPr>
                <w:rFonts w:ascii="Arial" w:cs="Arial" w:eastAsia="Arial" w:hAnsi="Arial"/>
                <w:b/>
                <w:bCs/>
                <w:color w:val="6366F1"/>
                <w:sz w:val="22"/>
                <w:szCs w:val="22"/>
              </w:rPr>
              <w:t xml:space="preserve">MISIÓN NEXQUANT</w:t>
            </w:r>
          </w:p>
          <w:p>
            <w:pPr>
              <w:spacing w:after="0"/>
            </w:pPr>
            <w:r>
              <w:rPr>
                <w:rFonts w:ascii="Arial" w:cs="Arial" w:eastAsia="Arial" w:hAnsi="Arial"/>
                <w:color w:val="334155"/>
                <w:sz w:val="20"/>
                <w:szCs w:val="20"/>
              </w:rPr>
              <w:t xml:space="preserve">Democratizar el acceso y el manejo de las inversiones en línea. Darle al consumidor un agente especializado que actúe como inversor profesional: tomando decisiones, ejecutando estrategias, diversificando portafolios, controlando la inflación y aumentando el patrimonio del usuario de forma autónoma.</w:t>
            </w:r>
          </w:p>
        </w:tc>
      </w:tr>
    </w:tbl>
    <w:p>
      <w:pPr>
        <w:spacing w:after="120"/>
      </w:pPr>
    </w:p>
    <w:p>
      <w:pPr>
        <w:pStyle w:val="Heading3"/>
      </w:pPr>
      <w:r>
        <w:t xml:space="preserve">1.2 Panorama Competitivo y Diferenciación</w:t>
      </w:r>
    </w:p>
    <w:p>
      <w:pPr>
        <w:spacing w:after="120" w:line="276"/>
      </w:pPr>
      <w:r>
        <w:rPr>
          <w:rFonts w:ascii="Arial" w:cs="Arial" w:eastAsia="Arial" w:hAnsi="Arial"/>
          <w:color w:val="0F172A"/>
          <w:sz w:val="22"/>
          <w:szCs w:val="22"/>
        </w:rPr>
        <w:t xml:space="preserve">El mercado actual de plataformas de AI trading se puede segmentar en cuatro categorías principales. La primera categoría es la de plataformas de señales y scanners, como Trade Ideas (con su AI "Holly"), Tickeron, y TrendSpider, que generan alertas pero no ejecutan de forma autónoma ni gestionan riesgo integral. La segunda incluye robo-advisors tradicionales como Betterment y Wealthfront, que ofrecen gestión pasiva basada en ETFs pero sin trading activo ni inferencia causal. La tercera categoría corresponde a plataformas de bots como Cryptohopper y WunderTrading, enfocadas en crypto con bots configurables pero sin inteligencia contextual tipo LLM. La cuarta son plataformas no-code como Composer, que permiten construir estrategias sin programar pero requieren que el usuario diseñe la estrategia.</w:t>
      </w:r>
    </w:p>
    <w:p>
      <w:pPr>
        <w:spacing w:after="120" w:line="276"/>
      </w:pPr>
      <w:r>
        <w:rPr>
          <w:rFonts w:ascii="Arial" w:cs="Arial" w:eastAsia="Arial" w:hAnsi="Arial"/>
          <w:color w:val="0F172A"/>
          <w:sz w:val="22"/>
          <w:szCs w:val="22"/>
        </w:rPr>
        <w:t xml:space="preserve">Ninguna plataforma actual combina estos cinco pilares simultáneamente: </w:t>
      </w:r>
      <w:r>
        <w:rPr>
          <w:rFonts w:ascii="Arial" w:cs="Arial" w:eastAsia="Arial" w:hAnsi="Arial"/>
          <w:b/>
          <w:bCs/>
          <w:color w:val="0F172A"/>
          <w:sz w:val="22"/>
          <w:szCs w:val="22"/>
        </w:rPr>
        <w:t xml:space="preserve">inferencia causal para señales, un LLM como capa de validación de decisiones, ejecución autónoma multi-mercado, gestión de riesgo dinámica por usuario, y una experiencia de usuario accesible para no-expertos.</w:t>
      </w:r>
      <w:r>
        <w:rPr>
          <w:rFonts w:ascii="Arial" w:cs="Arial" w:eastAsia="Arial" w:hAnsi="Arial"/>
          <w:color w:val="0F172A"/>
          <w:sz w:val="22"/>
          <w:szCs w:val="22"/>
        </w:rPr>
        <w:t xml:space="preserve"> Esa es la ventaja competitiva de NexQuant.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960"/>
        <w:gridCol w:w="2200"/>
      </w:tblGrid>
      <w:tr>
        <w:trPr>
          <w:tblHeader/>
        </w:trPr>
        <w:tc>
          <w:tcPr>
            <w:tcW w:type="dxa" w:w="20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Capacidad</w:t>
            </w:r>
          </w:p>
        </w:tc>
        <w:tc>
          <w:tcPr>
            <w:tcW w:type="dxa" w:w="1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 Ideas</w:t>
            </w:r>
          </w:p>
        </w:tc>
        <w:tc>
          <w:tcPr>
            <w:tcW w:type="dxa" w:w="1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Composer</w:t>
            </w:r>
          </w:p>
        </w:tc>
        <w:tc>
          <w:tcPr>
            <w:tcW w:type="dxa" w:w="196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Cryptohopper</w:t>
            </w:r>
          </w:p>
        </w:tc>
        <w:tc>
          <w:tcPr>
            <w:tcW w:type="dxa" w:w="2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NexQuant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Señales ML/AI</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(Holly)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(backtest)</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(básico)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(causal)</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Inferencia causal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(DoWhy)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LLM Decision Layer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(Claude)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Ejecución autónoma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Parcial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(ETFs)</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(crypto)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 (multi)</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Multi-mercado</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Solo US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Solo US</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Solo crypto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 exchanges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Gestión riesgo dinámica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Básica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Básica</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Configurable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Per-user</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Accesible no-expertos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No</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Parcial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Sí</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Precio mensual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$89-$178</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$32-$40</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$0-$107</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FREE/PRO</w:t>
            </w:r>
          </w:p>
        </w:tc>
      </w:tr>
    </w:tbl>
    <w:p>
      <w:pPr>
        <w:spacing w:after="200"/>
      </w:pPr>
    </w:p>
    <w:p>
      <w:pPr>
        <w:pStyle w:val="Heading2"/>
      </w:pPr>
      <w:r>
        <w:t xml:space="preserve">2. Análisis Profundo: Brechas Críticas en Lógica de Negocio</w:t>
      </w:r>
    </w:p>
    <w:p>
      <w:pPr>
        <w:pStyle w:val="Heading3"/>
      </w:pPr>
      <w:r>
        <w:t xml:space="preserve">2.1 Problema #1: Sin Perfil de Riesgo del Usuario</w:t>
      </w:r>
    </w:p>
    <w:p>
      <w:pPr>
        <w:spacing w:after="120" w:line="276"/>
      </w:pPr>
      <w:r>
        <w:rPr>
          <w:rFonts w:ascii="Arial" w:cs="Arial" w:eastAsia="Arial" w:hAnsi="Arial"/>
          <w:color w:val="0F172A"/>
          <w:sz w:val="22"/>
          <w:szCs w:val="22"/>
        </w:rPr>
        <w:t xml:space="preserve">El sistema actual asigna parámetros de riesgo genéricos a todos los usuarios. Esto es una violación directa de las obligaciones fiduciarias que reguladores como la SEC y ESMA exigen. Cualquier plataforma que ejecute trades en nombre de un usuario debe demostrar que comprende su tolerancia al riesgo, horizonte temporal, objetivos financieros, y situación patrimonial. Sin esto, NexQuant no puede operar legalmente como servicio de asesoría de inversión en ninguna jurisdicción regulada.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6"/>
              <w:bottom w:val="single" w:color="6366F1" w:sz="1"/>
              <w:right w:val="single" w:color="6366F1" w:sz="1"/>
            </w:tcBorders>
            <w:shd w:fill="EEF2FF" w:val="clear"/>
            <w:tcMar>
              <w:top w:type="dxa" w:w="120"/>
              <w:left w:type="dxa" w:w="200"/>
              <w:bottom w:type="dxa" w:w="120"/>
              <w:right w:type="dxa" w:w="200"/>
            </w:tcMar>
          </w:tcPr>
          <w:p>
            <w:pPr>
              <w:spacing w:after="60"/>
            </w:pPr>
            <w:r>
              <w:rPr>
                <w:rFonts w:ascii="Arial" w:cs="Arial" w:eastAsia="Arial" w:hAnsi="Arial"/>
                <w:b/>
                <w:bCs/>
                <w:color w:val="6366F1"/>
                <w:sz w:val="22"/>
                <w:szCs w:val="22"/>
              </w:rPr>
              <w:t xml:space="preserve">ACCIÓN REQUERIDA</w:t>
            </w:r>
          </w:p>
          <w:p>
            <w:pPr>
              <w:spacing w:after="0"/>
            </w:pPr>
            <w:r>
              <w:rPr>
                <w:rFonts w:ascii="Arial" w:cs="Arial" w:eastAsia="Arial" w:hAnsi="Arial"/>
                <w:color w:val="334155"/>
                <w:sz w:val="20"/>
                <w:szCs w:val="20"/>
              </w:rPr>
              <w:t xml:space="preserve">Implementar un Risk Profiling Engine completo que evalúe: horizonte temporal, tolerancia a pérdidas, ingresos y patrimonio neto, experiencia inversora, y objetivos financieros. Este perfil debe alimentar directamente los parámetros del RiskManager y del Claude Decision Layer. Los umbrales de stop-loss, take-profit, max position size, y allowed_symbols deben derivarse automáticamente del perfil.</w:t>
            </w:r>
          </w:p>
        </w:tc>
      </w:tr>
    </w:tbl>
    <w:p>
      <w:pPr>
        <w:spacing w:after="120"/>
      </w:pPr>
    </w:p>
    <w:p>
      <w:pPr>
        <w:pStyle w:val="Heading3"/>
      </w:pPr>
      <w:r>
        <w:t xml:space="preserve">2.2 Problema #2: Pipeline ML Insuficiente para Producción</w:t>
      </w:r>
    </w:p>
    <w:p>
      <w:pPr>
        <w:spacing w:after="120" w:line="276"/>
      </w:pPr>
      <w:r>
        <w:rPr>
          <w:rFonts w:ascii="Arial" w:cs="Arial" w:eastAsia="Arial" w:hAnsi="Arial"/>
          <w:color w:val="0F172A"/>
          <w:sz w:val="22"/>
          <w:szCs w:val="22"/>
        </w:rPr>
        <w:t xml:space="preserve">El pipeline actual de ML tiene tres debilidades fundamentales que limitan su efectividad como generador de alpha:</w:t>
      </w:r>
    </w:p>
    <w:p>
      <w:pPr>
        <w:pStyle w:val="ListParagraph"/>
        <w:numPr>
          <w:ilvl w:val="0"/>
          <w:numId w:val="2"/>
        </w:numPr>
        <w:spacing w:after="60" w:line="276"/>
      </w:pPr>
      <w:r>
        <w:rPr>
          <w:rFonts w:ascii="Arial" w:cs="Arial" w:eastAsia="Arial" w:hAnsi="Arial"/>
          <w:color w:val="0F172A"/>
          <w:sz w:val="22"/>
          <w:szCs w:val="22"/>
        </w:rPr>
        <w:t xml:space="preserve">ARIMA como modelo predictivo: Es un modelo lineal inadecuado para capturar las dinámicas no-lineales de los mercados financieros. Los papers más recientes (2025-2026) demuestran que los ensemble híbridos combinando redes neuronales con modelos basados en árboles logran Sharpe ratios de 2.5+ versus &lt;1.0 de modelos lineales aislados.</w:t>
      </w:r>
    </w:p>
    <w:p>
      <w:pPr>
        <w:pStyle w:val="ListParagraph"/>
        <w:numPr>
          <w:ilvl w:val="0"/>
          <w:numId w:val="2"/>
        </w:numPr>
        <w:spacing w:after="60" w:line="276"/>
      </w:pPr>
      <w:r>
        <w:rPr>
          <w:rFonts w:ascii="Arial" w:cs="Arial" w:eastAsia="Arial" w:hAnsi="Arial"/>
          <w:color w:val="0F172A"/>
          <w:sz w:val="22"/>
          <w:szCs w:val="22"/>
        </w:rPr>
        <w:t xml:space="preserve">Lookback window fijo de 20 ticks: Un window de 20 puntos a 1Hz es extremadamente corto para inferencia causal robusta. DoWhy necesita suficientes observaciones para estimar efectos causales fiables. Con 20 ticks, el p-value de los tests estadísticos será frecuentemente no significativo, generando señales ruidosas.</w:t>
      </w:r>
    </w:p>
    <w:p>
      <w:pPr>
        <w:pStyle w:val="ListParagraph"/>
        <w:numPr>
          <w:ilvl w:val="0"/>
          <w:numId w:val="2"/>
        </w:numPr>
        <w:spacing w:after="60" w:line="276"/>
      </w:pPr>
      <w:r>
        <w:rPr>
          <w:rFonts w:ascii="Arial" w:cs="Arial" w:eastAsia="Arial" w:hAnsi="Arial"/>
          <w:color w:val="0F172A"/>
          <w:sz w:val="22"/>
          <w:szCs w:val="22"/>
        </w:rPr>
        <w:t xml:space="preserve">K-Means para clasificación de régimen: Con solo tres clusters estáticos (LOW/MEDIUM/HIGH_VOL), el clasificador no captura transiciones de régimen ni regímenes compuestos. Hidden Markov Models (HMM) o Dynamic Bayesian Networks serían significativamente superiores.</w:t>
      </w:r>
    </w:p>
    <w:p>
      <w:pPr>
        <w:pStyle w:val="Heading3"/>
      </w:pPr>
      <w:r>
        <w:t xml:space="preserve">2.3 Problema #3: Ausencia de Backtesting</w:t>
      </w:r>
    </w:p>
    <w:p>
      <w:pPr>
        <w:spacing w:after="120" w:line="276"/>
      </w:pPr>
      <w:r>
        <w:rPr>
          <w:rFonts w:ascii="Arial" w:cs="Arial" w:eastAsia="Arial" w:hAnsi="Arial"/>
          <w:color w:val="0F172A"/>
          <w:sz w:val="22"/>
          <w:szCs w:val="22"/>
        </w:rPr>
        <w:t xml:space="preserve">NexQuant no tiene ningún sistema de backtesting. Esto significa que ni el equipo ni los usuarios pueden verificar la efectividad histórica de las estrategias antes de arriesgar capital real. Cada plataforma competidora, desde Composer hasta QuantConnect, ofrece backtesting como funcionalidad core. Sin backtesting, la propuesta de valor de NexQuant se basa enteramente en confianza ciega en el sistema, algo que ningún inversor sofisticado aceptará y que ningún regulador aprobará.</w:t>
      </w:r>
    </w:p>
    <w:p>
      <w:pPr>
        <w:pStyle w:val="Heading3"/>
      </w:pPr>
      <w:r>
        <w:t xml:space="preserve">2.4 Problema #4: Modelo de Monetización Incompleto</w:t>
      </w:r>
    </w:p>
    <w:p>
      <w:pPr>
        <w:spacing w:after="120" w:line="276"/>
      </w:pPr>
      <w:r>
        <w:rPr>
          <w:rFonts w:ascii="Arial" w:cs="Arial" w:eastAsia="Arial" w:hAnsi="Arial"/>
          <w:color w:val="0F172A"/>
          <w:sz w:val="22"/>
          <w:szCs w:val="22"/>
        </w:rPr>
        <w:t xml:space="preserve">El modelo FREE/PRO actual es un buen punto de partida, pero está infradesarrollado. El tier FREE ofrece demasiado poco para generar conversión (solo crypto, 10 chats, sin agent), y el PRO no tiene un precio definido ni tiers intermedios. Además, no hay modelo de revenue por performance (que es el estándar en la industria de gestión de activos) ni mecanismos de retención sofisticados.</w:t>
      </w:r>
    </w:p>
    <w:p>
      <w:pPr>
        <w:pStyle w:val="Heading3"/>
      </w:pPr>
      <w:r>
        <w:t xml:space="preserve">2.5 Problema #5: Regulatory Gap Completo</w:t>
      </w:r>
    </w:p>
    <w:p>
      <w:pPr>
        <w:spacing w:after="120" w:line="276"/>
      </w:pPr>
      <w:r>
        <w:rPr>
          <w:rFonts w:ascii="Arial" w:cs="Arial" w:eastAsia="Arial" w:hAnsi="Arial"/>
          <w:color w:val="0F172A"/>
          <w:sz w:val="22"/>
          <w:szCs w:val="22"/>
        </w:rPr>
        <w:t xml:space="preserve">NexQuant ejecuta trades de forma autónoma con dinero real de usuarios. En jurisdicción estadounidense, esto lo convierte potencialmente en un Investment Adviser (regulado por la SEC), un Broker-Dealer, o ambos. En la UE, caería bajo MiFID II. La SEC en sus prioridades 2026 ha enfatizado específicamente la revisión de plataformas fintech que usan AI para decisiones de inversión, incluyendo ciberseguridad, deberes fiduciarios, y transparencia de modelos. Sin un framework regulatorio claro, NexQuant opera en zona gris legal con riesgo existencial.</w:t>
      </w:r>
    </w:p>
    <w:p>
      <w:r>
        <w:br w:type="page"/>
      </w:r>
    </w:p>
    <w:p>
      <w:pPr>
        <w:pStyle w:val="Heading2"/>
      </w:pPr>
      <w:r>
        <w:t xml:space="preserve">3. Análisis Técnico Profundo: Innovaciones y Mejoras</w:t>
      </w:r>
    </w:p>
    <w:p>
      <w:pPr>
        <w:pStyle w:val="Heading3"/>
      </w:pPr>
      <w:r>
        <w:t xml:space="preserve">3.1 Rust Engine: Fortalezas y Oportunidades</w:t>
      </w:r>
    </w:p>
    <w:p>
      <w:pPr>
        <w:spacing w:after="120" w:line="276"/>
      </w:pPr>
      <w:r>
        <w:rPr>
          <w:rFonts w:ascii="Arial" w:cs="Arial" w:eastAsia="Arial" w:hAnsi="Arial"/>
          <w:color w:val="0F172A"/>
          <w:sz w:val="22"/>
          <w:szCs w:val="22"/>
        </w:rPr>
        <w:t xml:space="preserve">El Rust Engine es una de las piezas más sólidas del proyecto. El patrón HybridSource con auto-fallback a MockSource es elegante, y el uso de tokio::broadcast::channel con buffer 4096 es apropiado para el throughput actual. Sin embargo, para escalar a cientos de symbols y miles de usuarios, se necesitan mejoras específicas:</w:t>
      </w:r>
    </w:p>
    <w:p>
      <w:pPr>
        <w:pStyle w:val="ListParagraph"/>
        <w:numPr>
          <w:ilvl w:val="0"/>
          <w:numId w:val="2"/>
        </w:numPr>
        <w:spacing w:after="60" w:line="276"/>
      </w:pPr>
      <w:r>
        <w:rPr>
          <w:rFonts w:ascii="Arial" w:cs="Arial" w:eastAsia="Arial" w:hAnsi="Arial"/>
          <w:color w:val="0F172A"/>
          <w:sz w:val="22"/>
          <w:szCs w:val="22"/>
        </w:rPr>
        <w:t xml:space="preserve">Order Book Data: Actualmente solo se ingestan OHLCV ticks. Para señales de mayor calidad, NexQuant debe incorporar datos de order book (Level 2), que proporcionan información sobre la microestructura del mercado y permiten detectar liquidez oculta, spoofing, y momentum institucional.</w:t>
      </w:r>
    </w:p>
    <w:p>
      <w:pPr>
        <w:pStyle w:val="ListParagraph"/>
        <w:numPr>
          <w:ilvl w:val="0"/>
          <w:numId w:val="2"/>
        </w:numPr>
        <w:spacing w:after="60" w:line="276"/>
      </w:pPr>
      <w:r>
        <w:rPr>
          <w:rFonts w:ascii="Arial" w:cs="Arial" w:eastAsia="Arial" w:hAnsi="Arial"/>
          <w:color w:val="0F172A"/>
          <w:sz w:val="22"/>
          <w:szCs w:val="22"/>
        </w:rPr>
        <w:t xml:space="preserve">Alternative Data Pipeline: El research académico de 2025 muestra que las fuentes de datos alternativos (sentiment de noticias, datos satélite, transacciones de tarjetas de crédito, flujos de smart money) son los mayores generadores de alpha no explotados. Agregar un pipeline de news sentiment usando NLP sería una innovación diferenciadora.</w:t>
      </w:r>
    </w:p>
    <w:p>
      <w:pPr>
        <w:pStyle w:val="ListParagraph"/>
        <w:numPr>
          <w:ilvl w:val="0"/>
          <w:numId w:val="2"/>
        </w:numPr>
        <w:spacing w:after="60" w:line="276"/>
      </w:pPr>
      <w:r>
        <w:rPr>
          <w:rFonts w:ascii="Arial" w:cs="Arial" w:eastAsia="Arial" w:hAnsi="Arial"/>
          <w:color w:val="0F172A"/>
          <w:sz w:val="22"/>
          <w:szCs w:val="22"/>
        </w:rPr>
        <w:t xml:space="preserve">Adaptive Tick Rate: El rate fijo de 1Hz por symbol es suboptimo. En momentos de alta volatilidad, un adaptive rate (10-100Hz) capturaría micro-movimientos críticos; en periodos tranquilos, 0.1Hz reduciría carga sin perder información.</w:t>
      </w:r>
    </w:p>
    <w:p>
      <w:pPr>
        <w:pStyle w:val="Heading3"/>
      </w:pPr>
      <w:r>
        <w:t xml:space="preserve">3.2 Pipeline ML: Rediseño Propuesto</w:t>
      </w:r>
    </w:p>
    <w:p>
      <w:pPr>
        <w:spacing w:after="120" w:line="276"/>
      </w:pPr>
      <w:r>
        <w:rPr>
          <w:rFonts w:ascii="Arial" w:cs="Arial" w:eastAsia="Arial" w:hAnsi="Arial"/>
          <w:color w:val="0F172A"/>
          <w:sz w:val="22"/>
          <w:szCs w:val="22"/>
        </w:rPr>
        <w:t xml:space="preserve">El pipeline ML necesita una transformación fundamental para generar alpha real. Basado en el research más reciente en quantitative finance, proponemos una arquitectura de tres capas:</w:t>
      </w:r>
    </w:p>
    <w:p>
      <w:pPr>
        <w:spacing w:after="120" w:line="276"/>
      </w:pPr>
      <w:r>
        <w:rPr>
          <w:rFonts w:ascii="Arial" w:cs="Arial" w:eastAsia="Arial" w:hAnsi="Arial"/>
          <w:b/>
          <w:bCs/>
          <w:sz w:val="22"/>
          <w:szCs w:val="22"/>
        </w:rPr>
        <w:t xml:space="preserve">Capa 1 — Feature Engineering Avanzado: </w:t>
      </w:r>
      <w:r>
        <w:rPr>
          <w:rFonts w:ascii="Arial" w:cs="Arial" w:eastAsia="Arial" w:hAnsi="Arial"/>
          <w:color w:val="334155"/>
          <w:sz w:val="22"/>
          <w:szCs w:val="22"/>
        </w:rPr>
        <w:t xml:space="preserve">Reemplazar los features básicos actuales por un conjunto de 50-100 features que incluyan indicadores técnicos multi-timeframe (RSI, MACD, Bollinger en 5m/15m/1h/4h/1d), features de microestructura (bid-ask spread, volume imbalance, VWAP deviation), features cross-asset (correlación dinámica con SPY, VIX, DXY, oil), y features de sentiment (NLP sobre news feeds).</w:t>
      </w:r>
    </w:p>
    <w:p>
      <w:pPr>
        <w:spacing w:after="120" w:line="276"/>
      </w:pPr>
      <w:r>
        <w:rPr>
          <w:rFonts w:ascii="Arial" w:cs="Arial" w:eastAsia="Arial" w:hAnsi="Arial"/>
          <w:b/>
          <w:bCs/>
          <w:sz w:val="22"/>
          <w:szCs w:val="22"/>
        </w:rPr>
        <w:t xml:space="preserve">Capa 2 — Ensemble Predictivo Híbrido: </w:t>
      </w:r>
      <w:r>
        <w:rPr>
          <w:rFonts w:ascii="Arial" w:cs="Arial" w:eastAsia="Arial" w:hAnsi="Arial"/>
          <w:color w:val="334155"/>
          <w:sz w:val="22"/>
          <w:szCs w:val="22"/>
        </w:rPr>
        <w:t xml:space="preserve">Reemplazar ARIMA por un ensemble que combine: LightGBM/XGBoost para captura de relaciones no-lineales, LSTM o Transformer temporal para dependencias secuenciales, y un modelo de volatilidad (GARCH o HAR-RV) para estimación de riesgo. El ensemble debe usar stacking con meta-learner para combinar predicciones.</w:t>
      </w:r>
    </w:p>
    <w:p>
      <w:pPr>
        <w:spacing w:after="120" w:line="276"/>
      </w:pPr>
      <w:r>
        <w:rPr>
          <w:rFonts w:ascii="Arial" w:cs="Arial" w:eastAsia="Arial" w:hAnsi="Arial"/>
          <w:b/>
          <w:bCs/>
          <w:sz w:val="22"/>
          <w:szCs w:val="22"/>
        </w:rPr>
        <w:t xml:space="preserve">Capa 3 — Régimen Detection Avanzado: </w:t>
      </w:r>
      <w:r>
        <w:rPr>
          <w:rFonts w:ascii="Arial" w:cs="Arial" w:eastAsia="Arial" w:hAnsi="Arial"/>
          <w:color w:val="334155"/>
          <w:sz w:val="22"/>
          <w:szCs w:val="22"/>
        </w:rPr>
        <w:t xml:space="preserve">Reemplazar K-Means por un Hidden Markov Model (HMM) con 4-6 estados latentes que capture transiciones de régimen en tiempo real. Integrar features macro (yield curve, VIX term structure, credit spreads) para anticipar cambios de régimen antes de que se materialicen en precios.</w:t>
      </w:r>
    </w:p>
    <w:p>
      <w:pPr>
        <w:pStyle w:val="Heading3"/>
      </w:pPr>
      <w:r>
        <w:t xml:space="preserve">3.3 Claude Decision Layer: De Validador a Co-Piloto Estratégico</w:t>
      </w:r>
    </w:p>
    <w:p>
      <w:pPr>
        <w:spacing w:after="120" w:line="276"/>
      </w:pPr>
      <w:r>
        <w:rPr>
          <w:rFonts w:ascii="Arial" w:cs="Arial" w:eastAsia="Arial" w:hAnsi="Arial"/>
          <w:color w:val="0F172A"/>
          <w:sz w:val="22"/>
          <w:szCs w:val="22"/>
        </w:rPr>
        <w:t xml:space="preserve">La integración de Claude como capa de validación es la innovación más diferenciadora de NexQuant. Sin embargo, el uso actual es conservador. Claude recibe contexto y aprueba/rechaza, pero su capacidad de razonamiento se puede expandir significativamente:</w:t>
      </w:r>
    </w:p>
    <w:p>
      <w:pPr>
        <w:pStyle w:val="ListParagraph"/>
        <w:numPr>
          <w:ilvl w:val="0"/>
          <w:numId w:val="2"/>
        </w:numPr>
        <w:spacing w:after="60" w:line="276"/>
      </w:pPr>
      <w:r>
        <w:rPr>
          <w:rFonts w:ascii="Arial" w:cs="Arial" w:eastAsia="Arial" w:hAnsi="Arial"/>
          <w:color w:val="0F172A"/>
          <w:sz w:val="22"/>
          <w:szCs w:val="22"/>
        </w:rPr>
        <w:t xml:space="preserve">Razonamiento Multi-Step: En lugar de una sola evaluación, implementar un pipeline donde Claude primero analice el contexto macro, luego evalúe la señal específica, y finalmente considere el portafolio global del usuario. Esto produciría decisiones más hololísticas.</w:t>
      </w:r>
    </w:p>
    <w:p>
      <w:pPr>
        <w:pStyle w:val="ListParagraph"/>
        <w:numPr>
          <w:ilvl w:val="0"/>
          <w:numId w:val="2"/>
        </w:numPr>
        <w:spacing w:after="60" w:line="276"/>
      </w:pPr>
      <w:r>
        <w:rPr>
          <w:rFonts w:ascii="Arial" w:cs="Arial" w:eastAsia="Arial" w:hAnsi="Arial"/>
          <w:color w:val="0F172A"/>
          <w:sz w:val="22"/>
          <w:szCs w:val="22"/>
        </w:rPr>
        <w:t xml:space="preserve">Explicabilidad para el Usuario: Transformar el reasoning de Claude en explicaciones comprensibles para no-expertos. En lugar de "Strong causal effect with favorable regime", generar: "Detectamos que los beneficios de Apple superaron expectativas, lo cual históricamente impulsa el precio 2-3% en la siguiente semana. Tu portafolio tiene espacio para esta posición sin exceder tu tolerancia de riesgo."</w:t>
      </w:r>
    </w:p>
    <w:p>
      <w:pPr>
        <w:pStyle w:val="ListParagraph"/>
        <w:numPr>
          <w:ilvl w:val="0"/>
          <w:numId w:val="2"/>
        </w:numPr>
        <w:spacing w:after="60" w:line="276"/>
      </w:pPr>
      <w:r>
        <w:rPr>
          <w:rFonts w:ascii="Arial" w:cs="Arial" w:eastAsia="Arial" w:hAnsi="Arial"/>
          <w:color w:val="0F172A"/>
          <w:sz w:val="22"/>
          <w:szCs w:val="22"/>
        </w:rPr>
        <w:t xml:space="preserve">Aprendizaje de Outcomes: Alimentar a Claude con el historial de WIN/LOSS de sus propias decisiones para que ajuste su criterio. El score tracker actual ya captura esta data; falta cerrar el loop enviándola en el contexto de futuras evaluaciones de forma más estructurada.</w:t>
      </w:r>
    </w:p>
    <w:p>
      <w:pPr>
        <w:pStyle w:val="ListParagraph"/>
        <w:numPr>
          <w:ilvl w:val="0"/>
          <w:numId w:val="2"/>
        </w:numPr>
        <w:spacing w:after="60" w:line="276"/>
      </w:pPr>
      <w:r>
        <w:rPr>
          <w:rFonts w:ascii="Arial" w:cs="Arial" w:eastAsia="Arial" w:hAnsi="Arial"/>
          <w:color w:val="0F172A"/>
          <w:sz w:val="22"/>
          <w:szCs w:val="22"/>
        </w:rPr>
        <w:t xml:space="preserve">Portfolio-Level Reasoning: Actualmente Claude evalúa signal por signal. Debe evaluar el impacto de cada trade en el portafolio completo: correlaciones, concentración sectorial, exposición geográfica, y beta total.</w:t>
      </w:r>
    </w:p>
    <w:p>
      <w:pPr>
        <w:pStyle w:val="Heading3"/>
      </w:pPr>
      <w:r>
        <w:t xml:space="preserve">3.4 Frontend: De Dashboard a Experiencia de Inversor</w:t>
      </w:r>
    </w:p>
    <w:p>
      <w:pPr>
        <w:spacing w:after="120" w:line="276"/>
      </w:pPr>
      <w:r>
        <w:rPr>
          <w:rFonts w:ascii="Arial" w:cs="Arial" w:eastAsia="Arial" w:hAnsi="Arial"/>
          <w:color w:val="0F172A"/>
          <w:sz w:val="22"/>
          <w:szCs w:val="22"/>
        </w:rPr>
        <w:t xml:space="preserve">El frontend actual es funcional pero está orientado a traders, no a inversores promedio. Para cumplir la misión de democratización, la experiencia debe transformarse:</w:t>
      </w:r>
    </w:p>
    <w:p>
      <w:pPr>
        <w:pStyle w:val="ListParagraph"/>
        <w:numPr>
          <w:ilvl w:val="0"/>
          <w:numId w:val="2"/>
        </w:numPr>
        <w:spacing w:after="60" w:line="276"/>
      </w:pPr>
      <w:r>
        <w:rPr>
          <w:rFonts w:ascii="Arial" w:cs="Arial" w:eastAsia="Arial" w:hAnsi="Arial"/>
          <w:color w:val="0F172A"/>
          <w:sz w:val="22"/>
          <w:szCs w:val="22"/>
        </w:rPr>
        <w:t xml:space="preserve">Modo "Autopilot" vs "Piloto": Ofrecer dos experiencias. En Autopilot, el usuario solo define su perfil de riesgo y NexQuant hace todo. En Piloto, el usuario ve señales y decide (SwipeToInvest actual). Esto cubre desde el inversor pasivo hasta el activo.</w:t>
      </w:r>
    </w:p>
    <w:p>
      <w:pPr>
        <w:pStyle w:val="ListParagraph"/>
        <w:numPr>
          <w:ilvl w:val="0"/>
          <w:numId w:val="2"/>
        </w:numPr>
        <w:spacing w:after="60" w:line="276"/>
      </w:pPr>
      <w:r>
        <w:rPr>
          <w:rFonts w:ascii="Arial" w:cs="Arial" w:eastAsia="Arial" w:hAnsi="Arial"/>
          <w:color w:val="0F172A"/>
          <w:sz w:val="22"/>
          <w:szCs w:val="22"/>
        </w:rPr>
        <w:t xml:space="preserve">Financial Health Dashboard: Reemplazar el dashboard técnico actual por uno centrado en métricas que el usuario entienda: "Tu dinero ha crecido 3.2% este mes", "Estás 15% más cerca de tu meta de $50K", "Tu portafolio batió a la inflación por 2.1 puntos".</w:t>
      </w:r>
    </w:p>
    <w:p>
      <w:pPr>
        <w:pStyle w:val="ListParagraph"/>
        <w:numPr>
          <w:ilvl w:val="0"/>
          <w:numId w:val="2"/>
        </w:numPr>
        <w:spacing w:after="60" w:line="276"/>
      </w:pPr>
      <w:r>
        <w:rPr>
          <w:rFonts w:ascii="Arial" w:cs="Arial" w:eastAsia="Arial" w:hAnsi="Arial"/>
          <w:color w:val="0F172A"/>
          <w:sz w:val="22"/>
          <w:szCs w:val="22"/>
        </w:rPr>
        <w:t xml:space="preserve">NATS WebSocket Real-Time: El polling cada 15s debe reemplazarse con suscripción directa a NATS via WebSocket (ya está disponible en puerto 8223). Esto daría actualizaciones instantáneas y una experiencia profesional.</w:t>
      </w:r>
    </w:p>
    <w:p>
      <w:pPr>
        <w:pStyle w:val="ListParagraph"/>
        <w:numPr>
          <w:ilvl w:val="0"/>
          <w:numId w:val="2"/>
        </w:numPr>
        <w:spacing w:after="60" w:line="276"/>
      </w:pPr>
      <w:r>
        <w:rPr>
          <w:rFonts w:ascii="Arial" w:cs="Arial" w:eastAsia="Arial" w:hAnsi="Arial"/>
          <w:color w:val="0F172A"/>
          <w:sz w:val="22"/>
          <w:szCs w:val="22"/>
        </w:rPr>
        <w:t xml:space="preserve">Educational Layer: Integrar contenido educativo contextual. Cuando Claude recomienda un trade, explicar los conceptos: qué es causalidad vs correlación, qué significa el régimen de volatilidad, cómo funciona el stop-loss.</w:t>
      </w:r>
    </w:p>
    <w:p>
      <w:r>
        <w:br w:type="page"/>
      </w:r>
    </w:p>
    <w:p>
      <w:pPr>
        <w:pStyle w:val="Heading1"/>
      </w:pPr>
      <w:r>
        <w:t xml:space="preserve">PARTE II: Estrategia de Innovación</w:t>
      </w:r>
    </w:p>
    <w:p>
      <w:pPr>
        <w:pBdr>
          <w:bottom w:val="single" w:color="6366F1" w:sz="2" w:space="1"/>
        </w:pBdr>
        <w:spacing w:after="200" w:before="200"/>
      </w:pPr>
    </w:p>
    <w:p>
      <w:pPr>
        <w:pStyle w:val="Heading2"/>
      </w:pPr>
      <w:r>
        <w:t xml:space="preserve">4. Innovaciones Científicas Diferenciadores</w:t>
      </w:r>
    </w:p>
    <w:p>
      <w:pPr>
        <w:pStyle w:val="Heading3"/>
      </w:pPr>
      <w:r>
        <w:t xml:space="preserve">4.1 Causal Alpha Engine (CAE)</w:t>
      </w:r>
    </w:p>
    <w:p>
      <w:pPr>
        <w:spacing w:after="120" w:line="276"/>
      </w:pPr>
      <w:r>
        <w:rPr>
          <w:rFonts w:ascii="Arial" w:cs="Arial" w:eastAsia="Arial" w:hAnsi="Arial"/>
          <w:color w:val="0F172A"/>
          <w:sz w:val="22"/>
          <w:szCs w:val="22"/>
        </w:rPr>
        <w:t xml:space="preserve">La mayoría de plataformas de trading usan correlación. NexQuant ya usa inferencia causal con DoWhy, pero de forma básica. La oportunidad es construir un motor de "Causal Alpha" que sea el corazón científico de la plataforma y su moat técnico más fuerte:</w:t>
      </w:r>
    </w:p>
    <w:p>
      <w:pPr>
        <w:pStyle w:val="ListParagraph"/>
        <w:numPr>
          <w:ilvl w:val="0"/>
          <w:numId w:val="2"/>
        </w:numPr>
        <w:spacing w:after="60" w:line="276"/>
      </w:pPr>
      <w:r>
        <w:rPr>
          <w:rFonts w:ascii="Arial" w:cs="Arial" w:eastAsia="Arial" w:hAnsi="Arial"/>
          <w:color w:val="0F172A"/>
          <w:sz w:val="22"/>
          <w:szCs w:val="22"/>
        </w:rPr>
        <w:t xml:space="preserve">Implementar un pipeline causal multi-etapa: Granger Causality Test para filtrado inicial, PCMCI (Peter-Clark Momentary Conditional Independence) para relaciones causales temporales, y Transfer Entropy para capturar relaciones no-lineales direccionales.</w:t>
      </w:r>
    </w:p>
    <w:p>
      <w:pPr>
        <w:pStyle w:val="ListParagraph"/>
        <w:numPr>
          <w:ilvl w:val="0"/>
          <w:numId w:val="2"/>
        </w:numPr>
        <w:spacing w:after="60" w:line="276"/>
      </w:pPr>
      <w:r>
        <w:rPr>
          <w:rFonts w:ascii="Arial" w:cs="Arial" w:eastAsia="Arial" w:hAnsi="Arial"/>
          <w:color w:val="0F172A"/>
          <w:sz w:val="22"/>
          <w:szCs w:val="22"/>
        </w:rPr>
        <w:t xml:space="preserve">Construir un grafo causal dinámico del mercado que se actualice cada hora, mostrando qué activos causan movimientos en otros. Este grafo sería una herramienta visual única en la industria.</w:t>
      </w:r>
    </w:p>
    <w:p>
      <w:pPr>
        <w:pStyle w:val="ListParagraph"/>
        <w:numPr>
          <w:ilvl w:val="0"/>
          <w:numId w:val="2"/>
        </w:numPr>
        <w:spacing w:after="60" w:line="276"/>
      </w:pPr>
      <w:r>
        <w:rPr>
          <w:rFonts w:ascii="Arial" w:cs="Arial" w:eastAsia="Arial" w:hAnsi="Arial"/>
          <w:color w:val="0F172A"/>
          <w:sz w:val="22"/>
          <w:szCs w:val="22"/>
        </w:rPr>
        <w:t xml:space="preserve">Usar el grafo causal para detectar oportunidades de arbitraje informacional: cuando un activo causa movimiento en otro con lag temporal, se puede anticipar el movimiento del segundo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6"/>
              <w:bottom w:val="single" w:color="6366F1" w:sz="1"/>
              <w:right w:val="single" w:color="6366F1" w:sz="1"/>
            </w:tcBorders>
            <w:shd w:fill="EEF2FF" w:val="clear"/>
            <w:tcMar>
              <w:top w:type="dxa" w:w="120"/>
              <w:left w:type="dxa" w:w="200"/>
              <w:bottom w:type="dxa" w:w="120"/>
              <w:right w:type="dxa" w:w="200"/>
            </w:tcMar>
          </w:tcPr>
          <w:p>
            <w:pPr>
              <w:spacing w:after="60"/>
            </w:pPr>
            <w:r>
              <w:rPr>
                <w:rFonts w:ascii="Arial" w:cs="Arial" w:eastAsia="Arial" w:hAnsi="Arial"/>
                <w:b/>
                <w:bCs/>
                <w:color w:val="6366F1"/>
                <w:sz w:val="22"/>
                <w:szCs w:val="22"/>
              </w:rPr>
              <w:t xml:space="preserve">INNOVACIÓN CLAVE: CAUSAL ALPHA</w:t>
            </w:r>
          </w:p>
          <w:p>
            <w:pPr>
              <w:spacing w:after="0"/>
            </w:pPr>
            <w:r>
              <w:rPr>
                <w:rFonts w:ascii="Arial" w:cs="Arial" w:eastAsia="Arial" w:hAnsi="Arial"/>
                <w:color w:val="334155"/>
                <w:sz w:val="20"/>
                <w:szCs w:val="20"/>
              </w:rPr>
              <w:t xml:space="preserve">Mientras la competencia busca correlaciones, NexQuant busca causalidades. Un paper de julio 2025 demostró que estrategias basadas en inferencia causal (Granger + PCMCI + Transfer Entropy) generaron 15.38% de retorno en 45 días versus 3.65% de Buy &amp; Hold, con Sharpe Ratio de 2.17. Esta es la base científica que NexQuant debe construir como ventaja competitiva inreplicable.</w:t>
            </w:r>
          </w:p>
        </w:tc>
      </w:tr>
    </w:tbl>
    <w:p>
      <w:pPr>
        <w:spacing w:after="120"/>
      </w:pPr>
    </w:p>
    <w:p>
      <w:pPr>
        <w:pStyle w:val="Heading3"/>
      </w:pPr>
      <w:r>
        <w:t xml:space="preserve">4.2 Adaptive Risk Intelligence (ARI)</w:t>
      </w:r>
    </w:p>
    <w:p>
      <w:pPr>
        <w:spacing w:after="120" w:line="276"/>
      </w:pPr>
      <w:r>
        <w:rPr>
          <w:rFonts w:ascii="Arial" w:cs="Arial" w:eastAsia="Arial" w:hAnsi="Arial"/>
          <w:color w:val="0F172A"/>
          <w:sz w:val="22"/>
          <w:szCs w:val="22"/>
        </w:rPr>
        <w:t xml:space="preserve">El risk management actual es estático. La innovación propuesta es un sistema de riesgo que se adapte en tiempo real a condiciones de mercado y al comportamiento del portafolio del usuario:</w:t>
      </w:r>
    </w:p>
    <w:p>
      <w:pPr>
        <w:pStyle w:val="ListParagraph"/>
        <w:numPr>
          <w:ilvl w:val="0"/>
          <w:numId w:val="2"/>
        </w:numPr>
        <w:spacing w:after="60" w:line="276"/>
      </w:pPr>
      <w:r>
        <w:rPr>
          <w:rFonts w:ascii="Arial" w:cs="Arial" w:eastAsia="Arial" w:hAnsi="Arial"/>
          <w:color w:val="0F172A"/>
          <w:sz w:val="22"/>
          <w:szCs w:val="22"/>
        </w:rPr>
        <w:t xml:space="preserve">Dynamic Position Sizing: Usar el modelo de Kelly Criterion modificado, ajustado por el régimen de mercado detectado por el HMM. En régimen de crash, reducir automáticamente la exposición al 20% del normal.</w:t>
      </w:r>
    </w:p>
    <w:p>
      <w:pPr>
        <w:pStyle w:val="ListParagraph"/>
        <w:numPr>
          <w:ilvl w:val="0"/>
          <w:numId w:val="2"/>
        </w:numPr>
        <w:spacing w:after="60" w:line="276"/>
      </w:pPr>
      <w:r>
        <w:rPr>
          <w:rFonts w:ascii="Arial" w:cs="Arial" w:eastAsia="Arial" w:hAnsi="Arial"/>
          <w:color w:val="0F172A"/>
          <w:sz w:val="22"/>
          <w:szCs w:val="22"/>
        </w:rPr>
        <w:t xml:space="preserve">Cross-Asset Hedging: Cuando el portafolio tiene alta exposición a tech US, el sistema automáticamente sugiere o ejecuta hedges (short VIX, long bonds, o diversificación geográfica).</w:t>
      </w:r>
    </w:p>
    <w:p>
      <w:pPr>
        <w:pStyle w:val="ListParagraph"/>
        <w:numPr>
          <w:ilvl w:val="0"/>
          <w:numId w:val="2"/>
        </w:numPr>
        <w:spacing w:after="60" w:line="276"/>
      </w:pPr>
      <w:r>
        <w:rPr>
          <w:rFonts w:ascii="Arial" w:cs="Arial" w:eastAsia="Arial" w:hAnsi="Arial"/>
          <w:color w:val="0F172A"/>
          <w:sz w:val="22"/>
          <w:szCs w:val="22"/>
        </w:rPr>
        <w:t xml:space="preserve">Stress Testing Automatizado: Simular el impacto en el portafolio de escenarios históricos (COVID crash, subida de tasas 2022, crisis SVB 2023) y ajustar posiciones proactivamente.</w:t>
      </w:r>
    </w:p>
    <w:p>
      <w:pPr>
        <w:pStyle w:val="ListParagraph"/>
        <w:numPr>
          <w:ilvl w:val="0"/>
          <w:numId w:val="2"/>
        </w:numPr>
        <w:spacing w:after="60" w:line="276"/>
      </w:pPr>
      <w:r>
        <w:rPr>
          <w:rFonts w:ascii="Arial" w:cs="Arial" w:eastAsia="Arial" w:hAnsi="Arial"/>
          <w:color w:val="0F172A"/>
          <w:sz w:val="22"/>
          <w:szCs w:val="22"/>
        </w:rPr>
        <w:t xml:space="preserve">Tail Risk Protection: Implementar detección de eventos de cola (tail events) usando Extreme Value Theory (EVT). Cuando la probabilidad de un evento extremo supera un umbral, el sistema reduce exposición automáticamente.</w:t>
      </w:r>
    </w:p>
    <w:p>
      <w:pPr>
        <w:pStyle w:val="Heading3"/>
      </w:pPr>
      <w:r>
        <w:t xml:space="preserve">4.3 NexQuant Intelligence Reports</w:t>
      </w:r>
    </w:p>
    <w:p>
      <w:pPr>
        <w:spacing w:after="120" w:line="276"/>
      </w:pPr>
      <w:r>
        <w:rPr>
          <w:rFonts w:ascii="Arial" w:cs="Arial" w:eastAsia="Arial" w:hAnsi="Arial"/>
          <w:color w:val="0F172A"/>
          <w:sz w:val="22"/>
          <w:szCs w:val="22"/>
        </w:rPr>
        <w:t xml:space="preserve">Diferenciador masivo para retención y conversión: generar informes personalizados periódicos que combinen el análisis de Claude con los datos del pipeline ML:</w:t>
      </w:r>
    </w:p>
    <w:p>
      <w:pPr>
        <w:pStyle w:val="ListParagraph"/>
        <w:numPr>
          <w:ilvl w:val="0"/>
          <w:numId w:val="2"/>
        </w:numPr>
        <w:spacing w:after="60" w:line="276"/>
      </w:pPr>
      <w:r>
        <w:rPr>
          <w:rFonts w:ascii="Arial" w:cs="Arial" w:eastAsia="Arial" w:hAnsi="Arial"/>
          <w:color w:val="0F172A"/>
          <w:sz w:val="22"/>
          <w:szCs w:val="22"/>
        </w:rPr>
        <w:t xml:space="preserve">Informe Semanal: Resumen de performance, decisiones tomadas, explicación de cada trade, comparación con benchmarks (S&amp;P 500, Bitcoin), y outlook para la próxima semana basado en el modelo de régimen.</w:t>
      </w:r>
    </w:p>
    <w:p>
      <w:pPr>
        <w:pStyle w:val="ListParagraph"/>
        <w:numPr>
          <w:ilvl w:val="0"/>
          <w:numId w:val="2"/>
        </w:numPr>
        <w:spacing w:after="60" w:line="276"/>
      </w:pPr>
      <w:r>
        <w:rPr>
          <w:rFonts w:ascii="Arial" w:cs="Arial" w:eastAsia="Arial" w:hAnsi="Arial"/>
          <w:color w:val="0F172A"/>
          <w:sz w:val="22"/>
          <w:szCs w:val="22"/>
        </w:rPr>
        <w:t xml:space="preserve">Informe Mensual: Análisis profundo del portafolio, atribución de performance por asset y estrategia, evaluación del grafo causal, y recomendaciones de rebalanceo.</w:t>
      </w:r>
    </w:p>
    <w:p>
      <w:pPr>
        <w:pStyle w:val="ListParagraph"/>
        <w:numPr>
          <w:ilvl w:val="0"/>
          <w:numId w:val="2"/>
        </w:numPr>
        <w:spacing w:after="60" w:line="276"/>
      </w:pPr>
      <w:r>
        <w:rPr>
          <w:rFonts w:ascii="Arial" w:cs="Arial" w:eastAsia="Arial" w:hAnsi="Arial"/>
          <w:color w:val="0F172A"/>
          <w:sz w:val="22"/>
          <w:szCs w:val="22"/>
        </w:rPr>
        <w:t xml:space="preserve">Alertas Inteligentes: Notificaciones push cuando el sistema detecta un cambio de régimen, una oportunidad causal significativa, o un riesgo emergente en el portafolio.</w:t>
      </w:r>
    </w:p>
    <w:p>
      <w:pPr>
        <w:pStyle w:val="Heading3"/>
      </w:pPr>
      <w:r>
        <w:t xml:space="preserve">4.4 Social Proof y Community Intelligence</w:t>
      </w:r>
    </w:p>
    <w:p>
      <w:pPr>
        <w:spacing w:after="120" w:line="276"/>
      </w:pPr>
      <w:r>
        <w:rPr>
          <w:rFonts w:ascii="Arial" w:cs="Arial" w:eastAsia="Arial" w:hAnsi="Arial"/>
          <w:color w:val="0F172A"/>
          <w:sz w:val="22"/>
          <w:szCs w:val="22"/>
        </w:rPr>
        <w:t xml:space="preserve">Construir un elemento social que refuerce la confianza y genere network effects:</w:t>
      </w:r>
    </w:p>
    <w:p>
      <w:pPr>
        <w:pStyle w:val="ListParagraph"/>
        <w:numPr>
          <w:ilvl w:val="0"/>
          <w:numId w:val="2"/>
        </w:numPr>
        <w:spacing w:after="60" w:line="276"/>
      </w:pPr>
      <w:r>
        <w:rPr>
          <w:rFonts w:ascii="Arial" w:cs="Arial" w:eastAsia="Arial" w:hAnsi="Arial"/>
          <w:color w:val="0F172A"/>
          <w:sz w:val="22"/>
          <w:szCs w:val="22"/>
        </w:rPr>
        <w:t xml:space="preserve">NexQuant Index: Un índice público que muestre el performance agregado y anonimizado de todos los portafolios NexQuant vs benchmarks. Esto demuestra la efectividad del sistema sin revelar datos individuales.</w:t>
      </w:r>
    </w:p>
    <w:p>
      <w:pPr>
        <w:pStyle w:val="ListParagraph"/>
        <w:numPr>
          <w:ilvl w:val="0"/>
          <w:numId w:val="2"/>
        </w:numPr>
        <w:spacing w:after="60" w:line="276"/>
      </w:pPr>
      <w:r>
        <w:rPr>
          <w:rFonts w:ascii="Arial" w:cs="Arial" w:eastAsia="Arial" w:hAnsi="Arial"/>
          <w:color w:val="0F172A"/>
          <w:sz w:val="22"/>
          <w:szCs w:val="22"/>
        </w:rPr>
        <w:t xml:space="preserve">Strategy Leaderboard: Permitir que los usuarios PRO compartan sus configuraciones de agente (sin datos financieros) y que otros usuarios las copien o se inspiren.</w:t>
      </w:r>
    </w:p>
    <w:p>
      <w:pPr>
        <w:pStyle w:val="ListParagraph"/>
        <w:numPr>
          <w:ilvl w:val="0"/>
          <w:numId w:val="2"/>
        </w:numPr>
        <w:spacing w:after="60" w:line="276"/>
      </w:pPr>
      <w:r>
        <w:rPr>
          <w:rFonts w:ascii="Arial" w:cs="Arial" w:eastAsia="Arial" w:hAnsi="Arial"/>
          <w:color w:val="0F172A"/>
          <w:sz w:val="22"/>
          <w:szCs w:val="22"/>
        </w:rPr>
        <w:t xml:space="preserve">Causal Insights Feed: Un feed público de los patrones causales más interesantes detectados por el sistema, generando contenido educativo y marketing orgánico.</w:t>
      </w:r>
    </w:p>
    <w:p>
      <w:r>
        <w:br w:type="page"/>
      </w:r>
    </w:p>
    <w:p>
      <w:pPr>
        <w:pStyle w:val="Heading1"/>
      </w:pPr>
      <w:r>
        <w:t xml:space="preserve">PARTE III: Plan de Escalamiento</w:t>
      </w:r>
    </w:p>
    <w:p>
      <w:pPr>
        <w:pBdr>
          <w:bottom w:val="single" w:color="6366F1" w:sz="2" w:space="1"/>
        </w:pBdr>
        <w:spacing w:after="200" w:before="200"/>
      </w:pPr>
    </w:p>
    <w:p>
      <w:pPr>
        <w:pStyle w:val="Heading2"/>
      </w:pPr>
      <w:r>
        <w:t xml:space="preserve">5. Arquitectura para Escala</w:t>
      </w:r>
    </w:p>
    <w:p>
      <w:pPr>
        <w:pStyle w:val="Heading3"/>
      </w:pPr>
      <w:r>
        <w:t xml:space="preserve">5.1 De Docker Compose a Kubernetes</w:t>
      </w:r>
    </w:p>
    <w:p>
      <w:pPr>
        <w:spacing w:after="120" w:line="276"/>
      </w:pPr>
      <w:r>
        <w:rPr>
          <w:rFonts w:ascii="Arial" w:cs="Arial" w:eastAsia="Arial" w:hAnsi="Arial"/>
          <w:color w:val="0F172A"/>
          <w:sz w:val="22"/>
          <w:szCs w:val="22"/>
        </w:rPr>
        <w:t xml:space="preserve">Docker Compose es adecuado para desarrollo y MVP. Para producción con usuarios reales, la migración a Kubernetes es necesaria pero no inmediata. El plan de tres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560"/>
        <w:gridCol w:w="2000"/>
      </w:tblGrid>
      <w:tr>
        <w:trPr>
          <w:tblHeader/>
        </w:trPr>
        <w:tc>
          <w:tcPr>
            <w:tcW w:type="dxa" w:w="2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3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Infra</w:t>
            </w:r>
          </w:p>
        </w:tc>
        <w:tc>
          <w:tcPr>
            <w:tcW w:type="dxa" w:w="156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Usuarios</w:t>
            </w:r>
          </w:p>
        </w:tc>
        <w:tc>
          <w:tcPr>
            <w:tcW w:type="dxa" w:w="20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 MVP Launch</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Docker Compose + VPS (Hetzner/OVH)</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0-500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Mes 1-3</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 Early Growth</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Kubernetes (EKS/GKE) + managed DBs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500-5K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Mes 4-8</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 Scale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Multi-region K8s + NATS superclusters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5K-50K+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Mes 9-18</w:t>
            </w:r>
          </w:p>
        </w:tc>
      </w:tr>
    </w:tbl>
    <w:p>
      <w:pPr>
        <w:spacing w:after="200"/>
      </w:pPr>
    </w:p>
    <w:p>
      <w:pPr>
        <w:pStyle w:val="Heading3"/>
      </w:pPr>
      <w:r>
        <w:t xml:space="preserve">5.2 Data Layer Scaling</w:t>
      </w:r>
    </w:p>
    <w:p>
      <w:pPr>
        <w:spacing w:after="120" w:line="276"/>
      </w:pPr>
      <w:r>
        <w:rPr>
          <w:rFonts w:ascii="Arial" w:cs="Arial" w:eastAsia="Arial" w:hAnsi="Arial"/>
          <w:color w:val="0F172A"/>
          <w:sz w:val="22"/>
          <w:szCs w:val="22"/>
        </w:rPr>
        <w:t xml:space="preserve">Con 25 symbols a 1Hz, QuestDB maneja aproximadamente 2.16M registros/día en market_data. Para escalar a 500+ symbols con datos de order book:</w:t>
      </w:r>
    </w:p>
    <w:p>
      <w:pPr>
        <w:pStyle w:val="ListParagraph"/>
        <w:numPr>
          <w:ilvl w:val="0"/>
          <w:numId w:val="2"/>
        </w:numPr>
        <w:spacing w:after="60" w:line="276"/>
      </w:pPr>
      <w:r>
        <w:rPr>
          <w:rFonts w:ascii="Arial" w:cs="Arial" w:eastAsia="Arial" w:hAnsi="Arial"/>
          <w:color w:val="0F172A"/>
          <w:sz w:val="22"/>
          <w:szCs w:val="22"/>
        </w:rPr>
        <w:t xml:space="preserve">QuestDB soporta 1.4M+ rows/segundo en ingesta, así que el throughput no es cuello de botella inmediato. Sin embargo, necesita particionado por MONTH (no DAY) para queries de largo plazo, y retención automática (DROP PARTITION) para datos mayores a 90 días.</w:t>
      </w:r>
    </w:p>
    <w:p>
      <w:pPr>
        <w:pStyle w:val="ListParagraph"/>
        <w:numPr>
          <w:ilvl w:val="0"/>
          <w:numId w:val="2"/>
        </w:numPr>
        <w:spacing w:after="60" w:line="276"/>
      </w:pPr>
      <w:r>
        <w:rPr>
          <w:rFonts w:ascii="Arial" w:cs="Arial" w:eastAsia="Arial" w:hAnsi="Arial"/>
          <w:color w:val="0F172A"/>
          <w:sz w:val="22"/>
          <w:szCs w:val="22"/>
        </w:rPr>
        <w:t xml:space="preserve">PostgreSQL con Prisma es adecuado hasta 10K usuarios. Más allá, considerar read replicas y connection pooling con PgBouncer.</w:t>
      </w:r>
    </w:p>
    <w:p>
      <w:pPr>
        <w:pStyle w:val="ListParagraph"/>
        <w:numPr>
          <w:ilvl w:val="0"/>
          <w:numId w:val="2"/>
        </w:numPr>
        <w:spacing w:after="60" w:line="276"/>
      </w:pPr>
      <w:r>
        <w:rPr>
          <w:rFonts w:ascii="Arial" w:cs="Arial" w:eastAsia="Arial" w:hAnsi="Arial"/>
          <w:color w:val="0F172A"/>
          <w:sz w:val="22"/>
          <w:szCs w:val="22"/>
        </w:rPr>
        <w:t xml:space="preserve">NATS JetStream con 1GB de file store es suficiente para la fase 1. Para fase 2+, aumentar a 10-50GB y considerar NATS Leafnodes para separar tráfico por región.</w:t>
      </w:r>
    </w:p>
    <w:p>
      <w:pPr>
        <w:pStyle w:val="Heading3"/>
      </w:pPr>
      <w:r>
        <w:t xml:space="preserve">5.3 ML Pipeline Scaling</w:t>
      </w:r>
    </w:p>
    <w:p>
      <w:pPr>
        <w:spacing w:after="120" w:line="276"/>
      </w:pPr>
      <w:r>
        <w:rPr>
          <w:rFonts w:ascii="Arial" w:cs="Arial" w:eastAsia="Arial" w:hAnsi="Arial"/>
          <w:color w:val="0F172A"/>
          <w:sz w:val="22"/>
          <w:szCs w:val="22"/>
        </w:rPr>
        <w:t xml:space="preserve">El pipeline ML actual es single-process. Para escalar:</w:t>
      </w:r>
    </w:p>
    <w:p>
      <w:pPr>
        <w:pStyle w:val="ListParagraph"/>
        <w:numPr>
          <w:ilvl w:val="0"/>
          <w:numId w:val="2"/>
        </w:numPr>
        <w:spacing w:after="60" w:line="276"/>
      </w:pPr>
      <w:r>
        <w:rPr>
          <w:rFonts w:ascii="Arial" w:cs="Arial" w:eastAsia="Arial" w:hAnsi="Arial"/>
          <w:color w:val="0F172A"/>
          <w:sz w:val="22"/>
          <w:szCs w:val="22"/>
        </w:rPr>
        <w:t xml:space="preserve">Separar el ML pipeline en workers independientes por exchange/asset class. Cada worker procesa sus symbols en paralelo.</w:t>
      </w:r>
    </w:p>
    <w:p>
      <w:pPr>
        <w:pStyle w:val="ListParagraph"/>
        <w:numPr>
          <w:ilvl w:val="0"/>
          <w:numId w:val="2"/>
        </w:numPr>
        <w:spacing w:after="60" w:line="276"/>
      </w:pPr>
      <w:r>
        <w:rPr>
          <w:rFonts w:ascii="Arial" w:cs="Arial" w:eastAsia="Arial" w:hAnsi="Arial"/>
          <w:color w:val="0F172A"/>
          <w:sz w:val="22"/>
          <w:szCs w:val="22"/>
        </w:rPr>
        <w:t xml:space="preserve">Implementar model versioning con MLflow o similar para tracking de experimentos y rollback de modelos.</w:t>
      </w:r>
    </w:p>
    <w:p>
      <w:pPr>
        <w:pStyle w:val="ListParagraph"/>
        <w:numPr>
          <w:ilvl w:val="0"/>
          <w:numId w:val="2"/>
        </w:numPr>
        <w:spacing w:after="60" w:line="276"/>
      </w:pPr>
      <w:r>
        <w:rPr>
          <w:rFonts w:ascii="Arial" w:cs="Arial" w:eastAsia="Arial" w:hAnsi="Arial"/>
          <w:color w:val="0F172A"/>
          <w:sz w:val="22"/>
          <w:szCs w:val="22"/>
        </w:rPr>
        <w:t xml:space="preserve">Feature store centralizado (Feast o custom en QuestDB) para compartir features pre-computados entre modelos.</w:t>
      </w:r>
    </w:p>
    <w:p>
      <w:pPr>
        <w:pStyle w:val="ListParagraph"/>
        <w:numPr>
          <w:ilvl w:val="0"/>
          <w:numId w:val="2"/>
        </w:numPr>
        <w:spacing w:after="60" w:line="276"/>
      </w:pPr>
      <w:r>
        <w:rPr>
          <w:rFonts w:ascii="Arial" w:cs="Arial" w:eastAsia="Arial" w:hAnsi="Arial"/>
          <w:color w:val="0F172A"/>
          <w:sz w:val="22"/>
          <w:szCs w:val="22"/>
        </w:rPr>
        <w:t xml:space="preserve">GPU inference para modelos deep learning. Un T4 en AWS/GCP es suficiente para los primeros 500 symbols.</w:t>
      </w:r>
    </w:p>
    <w:p>
      <w:r>
        <w:br w:type="page"/>
      </w:r>
    </w:p>
    <w:p>
      <w:pPr>
        <w:pStyle w:val="Heading2"/>
      </w:pPr>
      <w:r>
        <w:t xml:space="preserve">6. Regulatory Compliance Roadmap</w:t>
      </w:r>
    </w:p>
    <w:p>
      <w:pPr>
        <w:spacing w:after="120" w:line="276"/>
      </w:pPr>
      <w:r>
        <w:rPr>
          <w:rFonts w:ascii="Arial" w:cs="Arial" w:eastAsia="Arial" w:hAnsi="Arial"/>
          <w:color w:val="0F172A"/>
          <w:sz w:val="22"/>
          <w:szCs w:val="22"/>
        </w:rPr>
        <w:t xml:space="preserve">La regulación no es un obstáculo; es una ventaja competitiva si se aborda correctamente. Las prioridades 2026 de la SEC enfatizan ciberseguridad, deberes fiduciarios, y transparencia de modelos de AI. NexQuant debe adelantarse:</w:t>
      </w:r>
    </w:p>
    <w:p>
      <w:pPr>
        <w:pStyle w:val="Heading3"/>
      </w:pPr>
      <w:r>
        <w:t xml:space="preserve">6.1 Estrategia Regulatoria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1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Jurisdicción</w:t>
            </w:r>
          </w:p>
        </w:tc>
        <w:tc>
          <w:tcPr>
            <w:tcW w:type="dxa" w:w="3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Licencia/Registro</w:t>
            </w:r>
          </w:p>
        </w:tc>
        <w:tc>
          <w:tcPr>
            <w:tcW w:type="dxa" w:w="316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Pre-Launch</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Internet Adviser Exemption (SEC)</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Registro como RIA digital-only</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Pre-Launch</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Broker-Dealer exemption</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Usar Alpaca como executing broker (no se necesita BD license)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Launch</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EU/ES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MiFID II passporting</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Registro en CNMV (España) para passporting UE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Growth</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UK</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FCA registration</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Aplicar para permissions de inversión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Scale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Global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Multi-jurisdictional</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Expansión regulada por mercado</w:t>
            </w:r>
          </w:p>
        </w:tc>
      </w:tr>
    </w:tbl>
    <w:p>
      <w:pPr>
        <w:spacing w:after="200"/>
      </w:pPr>
    </w:p>
    <w:p>
      <w:pPr>
        <w:pStyle w:val="Heading3"/>
      </w:pPr>
      <w:r>
        <w:t xml:space="preserve">6.2 Compliance by Design</w:t>
      </w:r>
    </w:p>
    <w:p>
      <w:pPr>
        <w:pStyle w:val="ListParagraph"/>
        <w:numPr>
          <w:ilvl w:val="0"/>
          <w:numId w:val="2"/>
        </w:numPr>
        <w:spacing w:after="60" w:line="276"/>
      </w:pPr>
      <w:r>
        <w:rPr>
          <w:rFonts w:ascii="Arial" w:cs="Arial" w:eastAsia="Arial" w:hAnsi="Arial"/>
          <w:color w:val="0F172A"/>
          <w:sz w:val="22"/>
          <w:szCs w:val="22"/>
        </w:rPr>
        <w:t xml:space="preserve">KYC/AML: Integrar un proveedor de identidad (Onfido, Jumio, o Sumsub) para verificación de identidad obligatoria antes de conectar broker.</w:t>
      </w:r>
    </w:p>
    <w:p>
      <w:pPr>
        <w:pStyle w:val="ListParagraph"/>
        <w:numPr>
          <w:ilvl w:val="0"/>
          <w:numId w:val="2"/>
        </w:numPr>
        <w:spacing w:after="60" w:line="276"/>
      </w:pPr>
      <w:r>
        <w:rPr>
          <w:rFonts w:ascii="Arial" w:cs="Arial" w:eastAsia="Arial" w:hAnsi="Arial"/>
          <w:color w:val="0F172A"/>
          <w:sz w:val="22"/>
          <w:szCs w:val="22"/>
        </w:rPr>
        <w:t xml:space="preserve">Suitability Assessment: El Risk Profiling Engine (sección 2.1) no es solo buena práctica, es obligatorio bajo Regulation Best Interest (Reg BI) y MiFID II.</w:t>
      </w:r>
    </w:p>
    <w:p>
      <w:pPr>
        <w:pStyle w:val="ListParagraph"/>
        <w:numPr>
          <w:ilvl w:val="0"/>
          <w:numId w:val="2"/>
        </w:numPr>
        <w:spacing w:after="60" w:line="276"/>
      </w:pPr>
      <w:r>
        <w:rPr>
          <w:rFonts w:ascii="Arial" w:cs="Arial" w:eastAsia="Arial" w:hAnsi="Arial"/>
          <w:color w:val="0F172A"/>
          <w:sz w:val="22"/>
          <w:szCs w:val="22"/>
        </w:rPr>
        <w:t xml:space="preserve">Model Transparency: Documentar todos los modelos ML, sus inputs, outputs, y limitaciones. La SEC exige que las plataformas que usan AI puedan explicar cómo funcionan sus algoritmos de decisión.</w:t>
      </w:r>
    </w:p>
    <w:p>
      <w:pPr>
        <w:pStyle w:val="ListParagraph"/>
        <w:numPr>
          <w:ilvl w:val="0"/>
          <w:numId w:val="2"/>
        </w:numPr>
        <w:spacing w:after="60" w:line="276"/>
      </w:pPr>
      <w:r>
        <w:rPr>
          <w:rFonts w:ascii="Arial" w:cs="Arial" w:eastAsia="Arial" w:hAnsi="Arial"/>
          <w:color w:val="0F172A"/>
          <w:sz w:val="22"/>
          <w:szCs w:val="22"/>
        </w:rPr>
        <w:t xml:space="preserve">Audit Trail Robusto: El audit log actual es básico. Necesita incluir cada decisión de Claude con su reasoning completo, cada trade con su justificación, y cada cambio de configuración.</w:t>
      </w:r>
    </w:p>
    <w:p>
      <w:pPr>
        <w:pStyle w:val="ListParagraph"/>
        <w:numPr>
          <w:ilvl w:val="0"/>
          <w:numId w:val="2"/>
        </w:numPr>
        <w:spacing w:after="60" w:line="276"/>
      </w:pPr>
      <w:r>
        <w:rPr>
          <w:rFonts w:ascii="Arial" w:cs="Arial" w:eastAsia="Arial" w:hAnsi="Arial"/>
          <w:color w:val="0F172A"/>
          <w:sz w:val="22"/>
          <w:szCs w:val="22"/>
        </w:rPr>
        <w:t xml:space="preserve">Disclosures: Página de riesgos prominente que explique que AI no garantiza rendimientos, que el trading conlleva riesgo de pérdida, y que NexQuant actúa como asesor algoritmico, no como garantía.</w:t>
      </w:r>
    </w:p>
    <w:p>
      <w:r>
        <w:br w:type="page"/>
      </w:r>
    </w:p>
    <w:p>
      <w:pPr>
        <w:pStyle w:val="Heading2"/>
      </w:pPr>
      <w:r>
        <w:t xml:space="preserve">7. Modelo de Negocio y Monetización Escalable</w:t>
      </w:r>
    </w:p>
    <w:p>
      <w:pPr>
        <w:pStyle w:val="Heading3"/>
      </w:pPr>
      <w:r>
        <w:t xml:space="preserve">7.1 Estructura de Pricing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4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Precio/Mes</w:t>
            </w:r>
          </w:p>
        </w:tc>
        <w:tc>
          <w:tcPr>
            <w:tcW w:type="dxa" w:w="2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Funcionalidades Core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Explorer (Free)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$0</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Lead gen</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 exchange (crypto), 5 chats/día, señales retrasadas, sin agent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Starter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$19/mes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Inversores novatos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 exchanges, 25 chats/día, agent básico (3 symbols), informe semanal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Pro</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$49/mes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Inversores activos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 exchanges, chats ilimitados, agent completo, analytics, informes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Premium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$99/mes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Traders serios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Todo Pro + API access, backtesting, priority execution, soporte dedicado</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Wealth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0.5% AUM/año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HNW individuals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Todo Premium + gestión activa, múltiples portafolios, white-glove</w:t>
            </w:r>
          </w:p>
        </w:tc>
      </w:tr>
    </w:tbl>
    <w:p>
      <w:pPr>
        <w:spacing w:after="200"/>
      </w:pPr>
    </w:p>
    <w:p>
      <w:pPr>
        <w:pStyle w:val="Heading3"/>
      </w:pPr>
      <w:r>
        <w:t xml:space="preserve">7.2 Revenue Streams Adicionales</w:t>
      </w:r>
    </w:p>
    <w:p>
      <w:pPr>
        <w:pStyle w:val="ListParagraph"/>
        <w:numPr>
          <w:ilvl w:val="0"/>
          <w:numId w:val="2"/>
        </w:numPr>
        <w:spacing w:after="60" w:line="276"/>
      </w:pPr>
      <w:r>
        <w:rPr>
          <w:rFonts w:ascii="Arial" w:cs="Arial" w:eastAsia="Arial" w:hAnsi="Arial"/>
          <w:color w:val="0F172A"/>
          <w:sz w:val="22"/>
          <w:szCs w:val="22"/>
        </w:rPr>
        <w:t xml:space="preserve">Payment for Order Flow: Alpaca y otros brokers pagan PFOF. NexQuant puede negociar revenue share por el volumen generado por sus usuarios.</w:t>
      </w:r>
    </w:p>
    <w:p>
      <w:pPr>
        <w:pStyle w:val="ListParagraph"/>
        <w:numPr>
          <w:ilvl w:val="0"/>
          <w:numId w:val="2"/>
        </w:numPr>
        <w:spacing w:after="60" w:line="276"/>
      </w:pPr>
      <w:r>
        <w:rPr>
          <w:rFonts w:ascii="Arial" w:cs="Arial" w:eastAsia="Arial" w:hAnsi="Arial"/>
          <w:color w:val="0F172A"/>
          <w:sz w:val="22"/>
          <w:szCs w:val="22"/>
        </w:rPr>
        <w:t xml:space="preserve">Data Licensing: Los patrones causales y señales de régimen detectados por el pipeline ML tienen valor para instituciones. Licenciar data anonimizada como feed.</w:t>
      </w:r>
    </w:p>
    <w:p>
      <w:pPr>
        <w:pStyle w:val="ListParagraph"/>
        <w:numPr>
          <w:ilvl w:val="0"/>
          <w:numId w:val="2"/>
        </w:numPr>
        <w:spacing w:after="60" w:line="276"/>
      </w:pPr>
      <w:r>
        <w:rPr>
          <w:rFonts w:ascii="Arial" w:cs="Arial" w:eastAsia="Arial" w:hAnsi="Arial"/>
          <w:color w:val="0F172A"/>
          <w:sz w:val="22"/>
          <w:szCs w:val="22"/>
        </w:rPr>
        <w:t xml:space="preserve">White-Label / B2B: Ofrecer el engine de NexQuant como servicio para neobancos, fintechs, y asesores financieros que quieran añadir trading AI a sus plataformas.</w:t>
      </w:r>
    </w:p>
    <w:p>
      <w:pPr>
        <w:pStyle w:val="ListParagraph"/>
        <w:numPr>
          <w:ilvl w:val="0"/>
          <w:numId w:val="2"/>
        </w:numPr>
        <w:spacing w:after="60" w:line="276"/>
      </w:pPr>
      <w:r>
        <w:rPr>
          <w:rFonts w:ascii="Arial" w:cs="Arial" w:eastAsia="Arial" w:hAnsi="Arial"/>
          <w:color w:val="0F172A"/>
          <w:sz w:val="22"/>
          <w:szCs w:val="22"/>
        </w:rPr>
        <w:t xml:space="preserve">Educational Premium: Cursos y certificaciones sobre inversión algoritmnica basados en el conocimiento único de NexQuant sobre inferencia causal.</w:t>
      </w:r>
    </w:p>
    <w:p>
      <w:pPr>
        <w:pStyle w:val="Heading3"/>
      </w:pPr>
      <w:r>
        <w:t xml:space="preserve">7.3 Unit Economics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12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Mes 6</w:t>
            </w:r>
          </w:p>
        </w:tc>
        <w:tc>
          <w:tcPr>
            <w:tcW w:type="dxa" w:w="212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Mes 12</w:t>
            </w:r>
          </w:p>
        </w:tc>
        <w:tc>
          <w:tcPr>
            <w:tcW w:type="dxa" w:w="212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Mes 24</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Usuarios registrados</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5,000</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25,000</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100,000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Conversión Free → Paid</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8%</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12%</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ARPU (avg revenue per user)</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$15</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$25</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$35</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MRR</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$3,750</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$50,000</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$420,000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Churn mensual</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&lt;8%</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&lt;5%</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&lt;3%</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CAC (customer acquisition cost)</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$30</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$20</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$15</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LTV/CAC ratio</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3x</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6x</w:t>
            </w:r>
          </w:p>
        </w:tc>
        <w:tc>
          <w:tcPr>
            <w:tcW w:type="dxa" w:w="2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10x+</w:t>
            </w:r>
          </w:p>
        </w:tc>
      </w:tr>
    </w:tbl>
    <w:p>
      <w:r>
        <w:br w:type="page"/>
      </w:r>
    </w:p>
    <w:p>
      <w:pPr>
        <w:pStyle w:val="Heading1"/>
      </w:pPr>
      <w:r>
        <w:t xml:space="preserve">PARTE IV: Plan de Ejecución</w:t>
      </w:r>
    </w:p>
    <w:p>
      <w:pPr>
        <w:pBdr>
          <w:bottom w:val="single" w:color="6366F1" w:sz="2" w:space="1"/>
        </w:pBdr>
        <w:spacing w:after="200" w:before="200"/>
      </w:pPr>
    </w:p>
    <w:p>
      <w:pPr>
        <w:pStyle w:val="Heading2"/>
      </w:pPr>
      <w:r>
        <w:t xml:space="preserve">8. Roadmap de Desarrollo: 18 Meses</w:t>
      </w:r>
    </w:p>
    <w:p>
      <w:pPr>
        <w:pStyle w:val="Heading3"/>
      </w:pPr>
      <w:r>
        <w:t xml:space="preserve">Sprint 0: Fundación Crítica (Semanas 1-4)</w:t>
      </w:r>
    </w:p>
    <w:p>
      <w:pPr>
        <w:spacing w:after="120" w:line="276"/>
      </w:pPr>
      <w:r>
        <w:rPr>
          <w:rFonts w:ascii="Arial" w:cs="Arial" w:eastAsia="Arial" w:hAnsi="Arial"/>
          <w:color w:val="0F172A"/>
          <w:sz w:val="22"/>
          <w:szCs w:val="22"/>
        </w:rPr>
        <w:t xml:space="preserve">Objetivo: Resolver todos los bloqueantes de lanzamiento identificados en el review técnico.</w:t>
      </w:r>
    </w:p>
    <w:p>
      <w:pPr>
        <w:pStyle w:val="ListParagraph"/>
        <w:numPr>
          <w:ilvl w:val="0"/>
          <w:numId w:val="3"/>
        </w:numPr>
        <w:spacing w:after="80" w:line="276"/>
      </w:pPr>
      <w:r>
        <w:rPr>
          <w:rFonts w:ascii="Arial" w:cs="Arial" w:eastAsia="Arial" w:hAnsi="Arial"/>
          <w:color w:val="0F172A"/>
          <w:sz w:val="22"/>
          <w:szCs w:val="22"/>
        </w:rPr>
        <w:t xml:space="preserve">HTTPS + TLS: Configurar Caddy como reverse proxy con auto-TLS para frontend y NATS WebSocket. Esfuerzo: 4-6 horas.</w:t>
      </w:r>
    </w:p>
    <w:p>
      <w:pPr>
        <w:pStyle w:val="ListParagraph"/>
        <w:numPr>
          <w:ilvl w:val="0"/>
          <w:numId w:val="3"/>
        </w:numPr>
        <w:spacing w:after="80" w:line="276"/>
      </w:pPr>
      <w:r>
        <w:rPr>
          <w:rFonts w:ascii="Arial" w:cs="Arial" w:eastAsia="Arial" w:hAnsi="Arial"/>
          <w:color w:val="0F172A"/>
          <w:sz w:val="22"/>
          <w:szCs w:val="22"/>
        </w:rPr>
        <w:t xml:space="preserve">Redis para Rate Limiting: Desplegar Redis (o Upstash) y migrar el rate limiter de in-memory a distribuido. Esfuerzo: 4-6 horas.</w:t>
      </w:r>
    </w:p>
    <w:p>
      <w:pPr>
        <w:pStyle w:val="ListParagraph"/>
        <w:numPr>
          <w:ilvl w:val="0"/>
          <w:numId w:val="3"/>
        </w:numPr>
        <w:spacing w:after="80" w:line="276"/>
      </w:pPr>
      <w:r>
        <w:rPr>
          <w:rFonts w:ascii="Arial" w:cs="Arial" w:eastAsia="Arial" w:hAnsi="Arial"/>
          <w:color w:val="0F172A"/>
          <w:sz w:val="22"/>
          <w:szCs w:val="22"/>
        </w:rPr>
        <w:t xml:space="preserve">Secret Management: Migrar todas las API keys a Docker Secrets (corto plazo) o HashiCorp Vault (medio plazo). Esfuerzo: 3-4 horas.</w:t>
      </w:r>
    </w:p>
    <w:p>
      <w:pPr>
        <w:pStyle w:val="ListParagraph"/>
        <w:numPr>
          <w:ilvl w:val="0"/>
          <w:numId w:val="3"/>
        </w:numPr>
        <w:spacing w:after="80" w:line="276"/>
      </w:pPr>
      <w:r>
        <w:rPr>
          <w:rFonts w:ascii="Arial" w:cs="Arial" w:eastAsia="Arial" w:hAnsi="Arial"/>
          <w:color w:val="0F172A"/>
          <w:sz w:val="22"/>
          <w:szCs w:val="22"/>
        </w:rPr>
        <w:t xml:space="preserve">Healthcheck Python ML: Agregar endpoint HTTP de health y configurar en Docker Compose. Esfuerzo: 1 hora.</w:t>
      </w:r>
    </w:p>
    <w:p>
      <w:pPr>
        <w:pStyle w:val="ListParagraph"/>
        <w:numPr>
          <w:ilvl w:val="0"/>
          <w:numId w:val="3"/>
        </w:numPr>
        <w:spacing w:after="80" w:line="276"/>
      </w:pPr>
      <w:r>
        <w:rPr>
          <w:rFonts w:ascii="Arial" w:cs="Arial" w:eastAsia="Arial" w:hAnsi="Arial"/>
          <w:color w:val="0F172A"/>
          <w:sz w:val="22"/>
          <w:szCs w:val="22"/>
        </w:rPr>
        <w:t xml:space="preserve">Tests Críticos: Escribir tests para Claude Decision Layer, order execution flow, y encryption/decryption. Esfuerzo: 2-3 días.</w:t>
      </w:r>
    </w:p>
    <w:p>
      <w:pPr>
        <w:pStyle w:val="ListParagraph"/>
        <w:numPr>
          <w:ilvl w:val="0"/>
          <w:numId w:val="3"/>
        </w:numPr>
        <w:spacing w:after="80" w:line="276"/>
      </w:pPr>
      <w:r>
        <w:rPr>
          <w:rFonts w:ascii="Arial" w:cs="Arial" w:eastAsia="Arial" w:hAnsi="Arial"/>
          <w:color w:val="0F172A"/>
          <w:sz w:val="22"/>
          <w:szCs w:val="22"/>
        </w:rPr>
        <w:t xml:space="preserve">Backup Automatizado: Configurar pg_dump cron para PostgreSQL y QuestDB snapshots. Esfuerzo: 2-3 horas.</w:t>
      </w:r>
    </w:p>
    <w:p>
      <w:pPr>
        <w:pStyle w:val="Heading3"/>
      </w:pPr>
      <w:r>
        <w:t xml:space="preserve">Sprint 1: Risk Profiling + Onboarding (Semanas 5-8)</w:t>
      </w:r>
    </w:p>
    <w:p>
      <w:pPr>
        <w:spacing w:after="120" w:line="276"/>
      </w:pPr>
      <w:r>
        <w:rPr>
          <w:rFonts w:ascii="Arial" w:cs="Arial" w:eastAsia="Arial" w:hAnsi="Arial"/>
          <w:color w:val="0F172A"/>
          <w:sz w:val="22"/>
          <w:szCs w:val="22"/>
        </w:rPr>
        <w:t xml:space="preserve">Objetivo: Implementar el perfil de riesgo del usuario y conectar el onboarding real.</w:t>
      </w:r>
    </w:p>
    <w:p>
      <w:pPr>
        <w:pStyle w:val="ListParagraph"/>
        <w:numPr>
          <w:ilvl w:val="0"/>
          <w:numId w:val="4"/>
        </w:numPr>
        <w:spacing w:after="80" w:line="276"/>
      </w:pPr>
      <w:r>
        <w:rPr>
          <w:rFonts w:ascii="Arial" w:cs="Arial" w:eastAsia="Arial" w:hAnsi="Arial"/>
          <w:color w:val="0F172A"/>
          <w:sz w:val="22"/>
          <w:szCs w:val="22"/>
        </w:rPr>
        <w:t xml:space="preserve">Diseñar cuestionario de risk profiling (10-15 preguntas basadas en estándares MiFID II/Reg BI).</w:t>
      </w:r>
    </w:p>
    <w:p>
      <w:pPr>
        <w:pStyle w:val="ListParagraph"/>
        <w:numPr>
          <w:ilvl w:val="0"/>
          <w:numId w:val="4"/>
        </w:numPr>
        <w:spacing w:after="80" w:line="276"/>
      </w:pPr>
      <w:r>
        <w:rPr>
          <w:rFonts w:ascii="Arial" w:cs="Arial" w:eastAsia="Arial" w:hAnsi="Arial"/>
          <w:color w:val="0F172A"/>
          <w:sz w:val="22"/>
          <w:szCs w:val="22"/>
        </w:rPr>
        <w:t xml:space="preserve">Implementar RiskProfileEngine que calcule: risk_score (1-10), recommended_allocation, max_drawdown_tolerance, y investment_horizon.</w:t>
      </w:r>
    </w:p>
    <w:p>
      <w:pPr>
        <w:pStyle w:val="ListParagraph"/>
        <w:numPr>
          <w:ilvl w:val="0"/>
          <w:numId w:val="4"/>
        </w:numPr>
        <w:spacing w:after="80" w:line="276"/>
      </w:pPr>
      <w:r>
        <w:rPr>
          <w:rFonts w:ascii="Arial" w:cs="Arial" w:eastAsia="Arial" w:hAnsi="Arial"/>
          <w:color w:val="0F172A"/>
          <w:sz w:val="22"/>
          <w:szCs w:val="22"/>
        </w:rPr>
        <w:t xml:space="preserve">Conectar risk profile con AgentConfig: derivar automáticamente max_position_size, stop_loss_pct, allowed_exchanges del perfil.</w:t>
      </w:r>
    </w:p>
    <w:p>
      <w:pPr>
        <w:pStyle w:val="ListParagraph"/>
        <w:numPr>
          <w:ilvl w:val="0"/>
          <w:numId w:val="4"/>
        </w:numPr>
        <w:spacing w:after="80" w:line="276"/>
      </w:pPr>
      <w:r>
        <w:rPr>
          <w:rFonts w:ascii="Arial" w:cs="Arial" w:eastAsia="Arial" w:hAnsi="Arial"/>
          <w:color w:val="0F172A"/>
          <w:sz w:val="22"/>
          <w:szCs w:val="22"/>
        </w:rPr>
        <w:t xml:space="preserve">Integrar onboarding wizard con APIs reales (/api/broker, /api/agent/config, y nuevo /api/risk-profile).</w:t>
      </w:r>
    </w:p>
    <w:p>
      <w:pPr>
        <w:pStyle w:val="ListParagraph"/>
        <w:numPr>
          <w:ilvl w:val="0"/>
          <w:numId w:val="4"/>
        </w:numPr>
        <w:spacing w:after="80" w:line="276"/>
      </w:pPr>
      <w:r>
        <w:rPr>
          <w:rFonts w:ascii="Arial" w:cs="Arial" w:eastAsia="Arial" w:hAnsi="Arial"/>
          <w:color w:val="0F172A"/>
          <w:sz w:val="22"/>
          <w:szCs w:val="22"/>
        </w:rPr>
        <w:t xml:space="preserve">Añadir modelo Prisma RiskProfile con relación 1:1 a User.</w:t>
      </w:r>
    </w:p>
    <w:p>
      <w:pPr>
        <w:pStyle w:val="Heading3"/>
      </w:pPr>
      <w:r>
        <w:t xml:space="preserve">Sprint 2: ML Pipeline v2 (Semanas 9-14)</w:t>
      </w:r>
    </w:p>
    <w:p>
      <w:pPr>
        <w:spacing w:after="120" w:line="276"/>
      </w:pPr>
      <w:r>
        <w:rPr>
          <w:rFonts w:ascii="Arial" w:cs="Arial" w:eastAsia="Arial" w:hAnsi="Arial"/>
          <w:color w:val="0F172A"/>
          <w:sz w:val="22"/>
          <w:szCs w:val="22"/>
        </w:rPr>
        <w:t xml:space="preserve">Objetivo: Reemplazar el pipeline ML básico por el ensemble híbrido.</w:t>
      </w:r>
    </w:p>
    <w:p>
      <w:pPr>
        <w:pStyle w:val="ListParagraph"/>
        <w:numPr>
          <w:ilvl w:val="0"/>
          <w:numId w:val="5"/>
        </w:numPr>
        <w:spacing w:after="80" w:line="276"/>
      </w:pPr>
      <w:r>
        <w:rPr>
          <w:rFonts w:ascii="Arial" w:cs="Arial" w:eastAsia="Arial" w:hAnsi="Arial"/>
          <w:color w:val="0F172A"/>
          <w:sz w:val="22"/>
          <w:szCs w:val="22"/>
        </w:rPr>
        <w:t xml:space="preserve">Feature Engineering: Implementar 50+ features técnicos, cross-asset, y de microestructura.</w:t>
      </w:r>
    </w:p>
    <w:p>
      <w:pPr>
        <w:pStyle w:val="ListParagraph"/>
        <w:numPr>
          <w:ilvl w:val="0"/>
          <w:numId w:val="5"/>
        </w:numPr>
        <w:spacing w:after="80" w:line="276"/>
      </w:pPr>
      <w:r>
        <w:rPr>
          <w:rFonts w:ascii="Arial" w:cs="Arial" w:eastAsia="Arial" w:hAnsi="Arial"/>
          <w:color w:val="0F172A"/>
          <w:sz w:val="22"/>
          <w:szCs w:val="22"/>
        </w:rPr>
        <w:t xml:space="preserve">Modelo Ensemble: Implementar LightGBM + LSTM ensemble con meta-learner.</w:t>
      </w:r>
    </w:p>
    <w:p>
      <w:pPr>
        <w:pStyle w:val="ListParagraph"/>
        <w:numPr>
          <w:ilvl w:val="0"/>
          <w:numId w:val="5"/>
        </w:numPr>
        <w:spacing w:after="80" w:line="276"/>
      </w:pPr>
      <w:r>
        <w:rPr>
          <w:rFonts w:ascii="Arial" w:cs="Arial" w:eastAsia="Arial" w:hAnsi="Arial"/>
          <w:color w:val="0F172A"/>
          <w:sz w:val="22"/>
          <w:szCs w:val="22"/>
        </w:rPr>
        <w:t xml:space="preserve">Régimen Classifier v2: Reemplazar K-Means por Hidden Markov Model con 4-6 estados.</w:t>
      </w:r>
    </w:p>
    <w:p>
      <w:pPr>
        <w:pStyle w:val="ListParagraph"/>
        <w:numPr>
          <w:ilvl w:val="0"/>
          <w:numId w:val="5"/>
        </w:numPr>
        <w:spacing w:after="80" w:line="276"/>
      </w:pPr>
      <w:r>
        <w:rPr>
          <w:rFonts w:ascii="Arial" w:cs="Arial" w:eastAsia="Arial" w:hAnsi="Arial"/>
          <w:color w:val="0F172A"/>
          <w:sz w:val="22"/>
          <w:szCs w:val="22"/>
        </w:rPr>
        <w:t xml:space="preserve">Causal Pipeline Multi-Stage: Implementar Granger + PCMCI + Transfer Entropy.</w:t>
      </w:r>
    </w:p>
    <w:p>
      <w:pPr>
        <w:pStyle w:val="ListParagraph"/>
        <w:numPr>
          <w:ilvl w:val="0"/>
          <w:numId w:val="5"/>
        </w:numPr>
        <w:spacing w:after="80" w:line="276"/>
      </w:pPr>
      <w:r>
        <w:rPr>
          <w:rFonts w:ascii="Arial" w:cs="Arial" w:eastAsia="Arial" w:hAnsi="Arial"/>
          <w:color w:val="0F172A"/>
          <w:sz w:val="22"/>
          <w:szCs w:val="22"/>
        </w:rPr>
        <w:t xml:space="preserve">Backtesting Engine: Construir framework de backtesting que valide estrategias con datos históricos.</w:t>
      </w:r>
    </w:p>
    <w:p>
      <w:pPr>
        <w:pStyle w:val="ListParagraph"/>
        <w:numPr>
          <w:ilvl w:val="0"/>
          <w:numId w:val="5"/>
        </w:numPr>
        <w:spacing w:after="80" w:line="276"/>
      </w:pPr>
      <w:r>
        <w:rPr>
          <w:rFonts w:ascii="Arial" w:cs="Arial" w:eastAsia="Arial" w:hAnsi="Arial"/>
          <w:color w:val="0F172A"/>
          <w:sz w:val="22"/>
          <w:szCs w:val="22"/>
        </w:rPr>
        <w:t xml:space="preserve">Benchmark interno: El nuevo pipeline debe demostrar Sharpe &gt; 1.5 en backtest antes de ir a producción.</w:t>
      </w:r>
    </w:p>
    <w:p>
      <w:pPr>
        <w:pStyle w:val="Heading3"/>
      </w:pPr>
      <w:r>
        <w:t xml:space="preserve">Sprint 3: Frontend Transformation (Semanas 11-16)</w:t>
      </w:r>
    </w:p>
    <w:p>
      <w:pPr>
        <w:spacing w:after="120" w:line="276"/>
      </w:pPr>
      <w:r>
        <w:rPr>
          <w:rFonts w:ascii="Arial" w:cs="Arial" w:eastAsia="Arial" w:hAnsi="Arial"/>
          <w:color w:val="0F172A"/>
          <w:sz w:val="22"/>
          <w:szCs w:val="22"/>
        </w:rPr>
        <w:t xml:space="preserve">Objetivo: Transformar la UX de "dashboard de trader" a "experiencia de inversor".</w:t>
      </w:r>
    </w:p>
    <w:p>
      <w:pPr>
        <w:pStyle w:val="ListParagraph"/>
        <w:numPr>
          <w:ilvl w:val="0"/>
          <w:numId w:val="6"/>
        </w:numPr>
        <w:spacing w:after="80" w:line="276"/>
      </w:pPr>
      <w:r>
        <w:rPr>
          <w:rFonts w:ascii="Arial" w:cs="Arial" w:eastAsia="Arial" w:hAnsi="Arial"/>
          <w:color w:val="0F172A"/>
          <w:sz w:val="22"/>
          <w:szCs w:val="22"/>
        </w:rPr>
        <w:t xml:space="preserve">Modo Autopilot: Nueva vista donde el usuario solo ve su progreso hacia metas financieras.</w:t>
      </w:r>
    </w:p>
    <w:p>
      <w:pPr>
        <w:pStyle w:val="ListParagraph"/>
        <w:numPr>
          <w:ilvl w:val="0"/>
          <w:numId w:val="6"/>
        </w:numPr>
        <w:spacing w:after="80" w:line="276"/>
      </w:pPr>
      <w:r>
        <w:rPr>
          <w:rFonts w:ascii="Arial" w:cs="Arial" w:eastAsia="Arial" w:hAnsi="Arial"/>
          <w:color w:val="0F172A"/>
          <w:sz w:val="22"/>
          <w:szCs w:val="22"/>
        </w:rPr>
        <w:t xml:space="preserve">Financial Health Dashboard: Métricas centradas en el usuario (crecimiento, metas, vs inflación).</w:t>
      </w:r>
    </w:p>
    <w:p>
      <w:pPr>
        <w:pStyle w:val="ListParagraph"/>
        <w:numPr>
          <w:ilvl w:val="0"/>
          <w:numId w:val="6"/>
        </w:numPr>
        <w:spacing w:after="80" w:line="276"/>
      </w:pPr>
      <w:r>
        <w:rPr>
          <w:rFonts w:ascii="Arial" w:cs="Arial" w:eastAsia="Arial" w:hAnsi="Arial"/>
          <w:color w:val="0F172A"/>
          <w:sz w:val="22"/>
          <w:szCs w:val="22"/>
        </w:rPr>
        <w:t xml:space="preserve">NATS WebSocket Integration: Hook useNATSSubscription() para updates en tiempo real.</w:t>
      </w:r>
    </w:p>
    <w:p>
      <w:pPr>
        <w:pStyle w:val="ListParagraph"/>
        <w:numPr>
          <w:ilvl w:val="0"/>
          <w:numId w:val="6"/>
        </w:numPr>
        <w:spacing w:after="80" w:line="276"/>
      </w:pPr>
      <w:r>
        <w:rPr>
          <w:rFonts w:ascii="Arial" w:cs="Arial" w:eastAsia="Arial" w:hAnsi="Arial"/>
          <w:color w:val="0F172A"/>
          <w:sz w:val="22"/>
          <w:szCs w:val="22"/>
        </w:rPr>
        <w:t xml:space="preserve">Claude Explainer: Transformar el reasoning técnico en explicaciones comprensibles.</w:t>
      </w:r>
    </w:p>
    <w:p>
      <w:pPr>
        <w:pStyle w:val="ListParagraph"/>
        <w:numPr>
          <w:ilvl w:val="0"/>
          <w:numId w:val="6"/>
        </w:numPr>
        <w:spacing w:after="80" w:line="276"/>
      </w:pPr>
      <w:r>
        <w:rPr>
          <w:rFonts w:ascii="Arial" w:cs="Arial" w:eastAsia="Arial" w:hAnsi="Arial"/>
          <w:color w:val="0F172A"/>
          <w:sz w:val="22"/>
          <w:szCs w:val="22"/>
        </w:rPr>
        <w:t xml:space="preserve">Mobile-First Redesign: Optimizar toda la experiencia para móvil (80%+ del target usará mobile).</w:t>
      </w:r>
    </w:p>
    <w:p>
      <w:pPr>
        <w:pStyle w:val="Heading3"/>
      </w:pPr>
      <w:r>
        <w:t xml:space="preserve">Sprint 4: Compliance + Security (Semanas 15-20)</w:t>
      </w:r>
    </w:p>
    <w:p>
      <w:pPr>
        <w:spacing w:after="120" w:line="276"/>
      </w:pPr>
      <w:r>
        <w:rPr>
          <w:rFonts w:ascii="Arial" w:cs="Arial" w:eastAsia="Arial" w:hAnsi="Arial"/>
          <w:color w:val="0F172A"/>
          <w:sz w:val="22"/>
          <w:szCs w:val="22"/>
        </w:rPr>
        <w:t xml:space="preserve">Objetivo: Preparar NexQuant para operación regulada.</w:t>
      </w:r>
    </w:p>
    <w:p>
      <w:pPr>
        <w:pStyle w:val="ListParagraph"/>
        <w:numPr>
          <w:ilvl w:val="0"/>
          <w:numId w:val="7"/>
        </w:numPr>
        <w:spacing w:after="80" w:line="276"/>
      </w:pPr>
      <w:r>
        <w:rPr>
          <w:rFonts w:ascii="Arial" w:cs="Arial" w:eastAsia="Arial" w:hAnsi="Arial"/>
          <w:color w:val="0F172A"/>
          <w:sz w:val="22"/>
          <w:szCs w:val="22"/>
        </w:rPr>
        <w:t xml:space="preserve">KYC Integration: Integrar Sumsub o Onfido para verificación de identidad.</w:t>
      </w:r>
    </w:p>
    <w:p>
      <w:pPr>
        <w:pStyle w:val="ListParagraph"/>
        <w:numPr>
          <w:ilvl w:val="0"/>
          <w:numId w:val="7"/>
        </w:numPr>
        <w:spacing w:after="80" w:line="276"/>
      </w:pPr>
      <w:r>
        <w:rPr>
          <w:rFonts w:ascii="Arial" w:cs="Arial" w:eastAsia="Arial" w:hAnsi="Arial"/>
          <w:color w:val="0F172A"/>
          <w:sz w:val="22"/>
          <w:szCs w:val="22"/>
        </w:rPr>
        <w:t xml:space="preserve">Form ADV / CNMV Registration: Preparar documentación regulatoria.</w:t>
      </w:r>
    </w:p>
    <w:p>
      <w:pPr>
        <w:pStyle w:val="ListParagraph"/>
        <w:numPr>
          <w:ilvl w:val="0"/>
          <w:numId w:val="7"/>
        </w:numPr>
        <w:spacing w:after="80" w:line="276"/>
      </w:pPr>
      <w:r>
        <w:rPr>
          <w:rFonts w:ascii="Arial" w:cs="Arial" w:eastAsia="Arial" w:hAnsi="Arial"/>
          <w:color w:val="0F172A"/>
          <w:sz w:val="22"/>
          <w:szCs w:val="22"/>
        </w:rPr>
        <w:t xml:space="preserve">Model Documentation: Documentar todos los modelos ML según estándares regulatorios.</w:t>
      </w:r>
    </w:p>
    <w:p>
      <w:pPr>
        <w:pStyle w:val="ListParagraph"/>
        <w:numPr>
          <w:ilvl w:val="0"/>
          <w:numId w:val="7"/>
        </w:numPr>
        <w:spacing w:after="80" w:line="276"/>
      </w:pPr>
      <w:r>
        <w:rPr>
          <w:rFonts w:ascii="Arial" w:cs="Arial" w:eastAsia="Arial" w:hAnsi="Arial"/>
          <w:color w:val="0F172A"/>
          <w:sz w:val="22"/>
          <w:szCs w:val="22"/>
        </w:rPr>
        <w:t xml:space="preserve">Risk Disclosures: Páginas legales completas sobre riesgos de trading algoritmico.</w:t>
      </w:r>
    </w:p>
    <w:p>
      <w:pPr>
        <w:pStyle w:val="ListParagraph"/>
        <w:numPr>
          <w:ilvl w:val="0"/>
          <w:numId w:val="7"/>
        </w:numPr>
        <w:spacing w:after="80" w:line="276"/>
      </w:pPr>
      <w:r>
        <w:rPr>
          <w:rFonts w:ascii="Arial" w:cs="Arial" w:eastAsia="Arial" w:hAnsi="Arial"/>
          <w:color w:val="0F172A"/>
          <w:sz w:val="22"/>
          <w:szCs w:val="22"/>
        </w:rPr>
        <w:t xml:space="preserve">Audit Trail Enhancement: Logging completo de todas las decisiones con justificación.</w:t>
      </w:r>
    </w:p>
    <w:p>
      <w:pPr>
        <w:pStyle w:val="ListParagraph"/>
        <w:numPr>
          <w:ilvl w:val="0"/>
          <w:numId w:val="7"/>
        </w:numPr>
        <w:spacing w:after="80" w:line="276"/>
      </w:pPr>
      <w:r>
        <w:rPr>
          <w:rFonts w:ascii="Arial" w:cs="Arial" w:eastAsia="Arial" w:hAnsi="Arial"/>
          <w:color w:val="0F172A"/>
          <w:sz w:val="22"/>
          <w:szCs w:val="22"/>
        </w:rPr>
        <w:t xml:space="preserve">Penetration Testing: Contratar pentest externo antes del lanzamiento público.</w:t>
      </w:r>
    </w:p>
    <w:p>
      <w:pPr>
        <w:pStyle w:val="Heading3"/>
      </w:pPr>
      <w:r>
        <w:t xml:space="preserve">Sprint 5: Monetización + Growth (Semanas 17-24)</w:t>
      </w:r>
    </w:p>
    <w:p>
      <w:pPr>
        <w:spacing w:after="120" w:line="276"/>
      </w:pPr>
      <w:r>
        <w:rPr>
          <w:rFonts w:ascii="Arial" w:cs="Arial" w:eastAsia="Arial" w:hAnsi="Arial"/>
          <w:color w:val="0F172A"/>
          <w:sz w:val="22"/>
          <w:szCs w:val="22"/>
        </w:rPr>
        <w:t xml:space="preserve">Objetivo: Implementar el modelo de pricing y canales de adquisición.</w:t>
      </w:r>
    </w:p>
    <w:p>
      <w:pPr>
        <w:pStyle w:val="ListParagraph"/>
        <w:numPr>
          <w:ilvl w:val="0"/>
          <w:numId w:val="8"/>
        </w:numPr>
        <w:spacing w:after="80" w:line="276"/>
      </w:pPr>
      <w:r>
        <w:rPr>
          <w:rFonts w:ascii="Arial" w:cs="Arial" w:eastAsia="Arial" w:hAnsi="Arial"/>
          <w:color w:val="0F172A"/>
          <w:sz w:val="22"/>
          <w:szCs w:val="22"/>
        </w:rPr>
        <w:t xml:space="preserve">Implementar tiers Explorer/Starter/Pro/Premium con Stripe.</w:t>
      </w:r>
    </w:p>
    <w:p>
      <w:pPr>
        <w:pStyle w:val="ListParagraph"/>
        <w:numPr>
          <w:ilvl w:val="0"/>
          <w:numId w:val="8"/>
        </w:numPr>
        <w:spacing w:after="80" w:line="276"/>
      </w:pPr>
      <w:r>
        <w:rPr>
          <w:rFonts w:ascii="Arial" w:cs="Arial" w:eastAsia="Arial" w:hAnsi="Arial"/>
          <w:color w:val="0F172A"/>
          <w:sz w:val="22"/>
          <w:szCs w:val="22"/>
        </w:rPr>
        <w:t xml:space="preserve">NexQuant Intelligence Reports: Generación automática de informes semanales.</w:t>
      </w:r>
    </w:p>
    <w:p>
      <w:pPr>
        <w:pStyle w:val="ListParagraph"/>
        <w:numPr>
          <w:ilvl w:val="0"/>
          <w:numId w:val="8"/>
        </w:numPr>
        <w:spacing w:after="80" w:line="276"/>
      </w:pPr>
      <w:r>
        <w:rPr>
          <w:rFonts w:ascii="Arial" w:cs="Arial" w:eastAsia="Arial" w:hAnsi="Arial"/>
          <w:color w:val="0F172A"/>
          <w:sz w:val="22"/>
          <w:szCs w:val="22"/>
        </w:rPr>
        <w:t xml:space="preserve">Referral Program: Sistema de referidos con incentivos (1 mes gratis por referido convertido).</w:t>
      </w:r>
    </w:p>
    <w:p>
      <w:pPr>
        <w:pStyle w:val="ListParagraph"/>
        <w:numPr>
          <w:ilvl w:val="0"/>
          <w:numId w:val="8"/>
        </w:numPr>
        <w:spacing w:after="80" w:line="276"/>
      </w:pPr>
      <w:r>
        <w:rPr>
          <w:rFonts w:ascii="Arial" w:cs="Arial" w:eastAsia="Arial" w:hAnsi="Arial"/>
          <w:color w:val="0F172A"/>
          <w:sz w:val="22"/>
          <w:szCs w:val="22"/>
        </w:rPr>
        <w:t xml:space="preserve">NexQuant Index: Dashboard público con performance agregado del sistema.</w:t>
      </w:r>
    </w:p>
    <w:p>
      <w:pPr>
        <w:pStyle w:val="ListParagraph"/>
        <w:numPr>
          <w:ilvl w:val="0"/>
          <w:numId w:val="8"/>
        </w:numPr>
        <w:spacing w:after="80" w:line="276"/>
      </w:pPr>
      <w:r>
        <w:rPr>
          <w:rFonts w:ascii="Arial" w:cs="Arial" w:eastAsia="Arial" w:hAnsi="Arial"/>
          <w:color w:val="0F172A"/>
          <w:sz w:val="22"/>
          <w:szCs w:val="22"/>
        </w:rPr>
        <w:t xml:space="preserve">Content Marketing: Blog con Causal Insights y educational content del pipeline.</w:t>
      </w:r>
    </w:p>
    <w:p>
      <w:pPr>
        <w:pStyle w:val="ListParagraph"/>
        <w:numPr>
          <w:ilvl w:val="0"/>
          <w:numId w:val="8"/>
        </w:numPr>
        <w:spacing w:after="80" w:line="276"/>
      </w:pPr>
      <w:r>
        <w:rPr>
          <w:rFonts w:ascii="Arial" w:cs="Arial" w:eastAsia="Arial" w:hAnsi="Arial"/>
          <w:color w:val="0F172A"/>
          <w:sz w:val="22"/>
          <w:szCs w:val="22"/>
        </w:rPr>
        <w:t xml:space="preserve">Landing Page + SEO: Página de conversión optimizada con social proof.</w:t>
      </w:r>
    </w:p>
    <w:p>
      <w:pPr>
        <w:pStyle w:val="Heading3"/>
      </w:pPr>
      <w:r>
        <w:t xml:space="preserve">Sprint 6: Scale + Observability (Semanas 21-30)</w:t>
      </w:r>
    </w:p>
    <w:p>
      <w:pPr>
        <w:spacing w:after="120" w:line="276"/>
      </w:pPr>
      <w:r>
        <w:rPr>
          <w:rFonts w:ascii="Arial" w:cs="Arial" w:eastAsia="Arial" w:hAnsi="Arial"/>
          <w:color w:val="0F172A"/>
          <w:sz w:val="22"/>
          <w:szCs w:val="22"/>
        </w:rPr>
        <w:t xml:space="preserve">Objetivo: Preparar la infraestructura para crecimiento.</w:t>
      </w:r>
    </w:p>
    <w:p>
      <w:pPr>
        <w:pStyle w:val="ListParagraph"/>
        <w:numPr>
          <w:ilvl w:val="0"/>
          <w:numId w:val="9"/>
        </w:numPr>
        <w:spacing w:after="80" w:line="276"/>
      </w:pPr>
      <w:r>
        <w:rPr>
          <w:rFonts w:ascii="Arial" w:cs="Arial" w:eastAsia="Arial" w:hAnsi="Arial"/>
          <w:color w:val="0F172A"/>
          <w:sz w:val="22"/>
          <w:szCs w:val="22"/>
        </w:rPr>
        <w:t xml:space="preserve">Monitoreo: Prometheus + Grafana para todos los servicios.</w:t>
      </w:r>
    </w:p>
    <w:p>
      <w:pPr>
        <w:pStyle w:val="ListParagraph"/>
        <w:numPr>
          <w:ilvl w:val="0"/>
          <w:numId w:val="9"/>
        </w:numPr>
        <w:spacing w:after="80" w:line="276"/>
      </w:pPr>
      <w:r>
        <w:rPr>
          <w:rFonts w:ascii="Arial" w:cs="Arial" w:eastAsia="Arial" w:hAnsi="Arial"/>
          <w:color w:val="0F172A"/>
          <w:sz w:val="22"/>
          <w:szCs w:val="22"/>
        </w:rPr>
        <w:t xml:space="preserve">CI/CD: GitHub Actions con lint, test, build, deploy a staging/prod.</w:t>
      </w:r>
    </w:p>
    <w:p>
      <w:pPr>
        <w:pStyle w:val="ListParagraph"/>
        <w:numPr>
          <w:ilvl w:val="0"/>
          <w:numId w:val="9"/>
        </w:numPr>
        <w:spacing w:after="80" w:line="276"/>
      </w:pPr>
      <w:r>
        <w:rPr>
          <w:rFonts w:ascii="Arial" w:cs="Arial" w:eastAsia="Arial" w:hAnsi="Arial"/>
          <w:color w:val="0F172A"/>
          <w:sz w:val="22"/>
          <w:szCs w:val="22"/>
        </w:rPr>
        <w:t xml:space="preserve">Logging Centralizado: Loki o ELK stack.</w:t>
      </w:r>
    </w:p>
    <w:p>
      <w:pPr>
        <w:pStyle w:val="ListParagraph"/>
        <w:numPr>
          <w:ilvl w:val="0"/>
          <w:numId w:val="9"/>
        </w:numPr>
        <w:spacing w:after="80" w:line="276"/>
      </w:pPr>
      <w:r>
        <w:rPr>
          <w:rFonts w:ascii="Arial" w:cs="Arial" w:eastAsia="Arial" w:hAnsi="Arial"/>
          <w:color w:val="0F172A"/>
          <w:sz w:val="22"/>
          <w:szCs w:val="22"/>
        </w:rPr>
        <w:t xml:space="preserve">NATS Cluster: Migrar de instancia única a cluster de 3 nodos.</w:t>
      </w:r>
    </w:p>
    <w:p>
      <w:pPr>
        <w:pStyle w:val="ListParagraph"/>
        <w:numPr>
          <w:ilvl w:val="0"/>
          <w:numId w:val="9"/>
        </w:numPr>
        <w:spacing w:after="80" w:line="276"/>
      </w:pPr>
      <w:r>
        <w:rPr>
          <w:rFonts w:ascii="Arial" w:cs="Arial" w:eastAsia="Arial" w:hAnsi="Arial"/>
          <w:color w:val="0F172A"/>
          <w:sz w:val="22"/>
          <w:szCs w:val="22"/>
        </w:rPr>
        <w:t xml:space="preserve">Kubernetes Migration Plan: Preparar manifiestos K8s y plan de migración.</w:t>
      </w:r>
    </w:p>
    <w:p>
      <w:pPr>
        <w:pStyle w:val="ListParagraph"/>
        <w:numPr>
          <w:ilvl w:val="0"/>
          <w:numId w:val="9"/>
        </w:numPr>
        <w:spacing w:after="80" w:line="276"/>
      </w:pPr>
      <w:r>
        <w:rPr>
          <w:rFonts w:ascii="Arial" w:cs="Arial" w:eastAsia="Arial" w:hAnsi="Arial"/>
          <w:color w:val="0F172A"/>
          <w:sz w:val="22"/>
          <w:szCs w:val="22"/>
        </w:rPr>
        <w:t xml:space="preserve">Load Testing: Simular 1000 usuarios concurrentes y optimizar cuellos de botella.</w:t>
      </w:r>
    </w:p>
    <w:p>
      <w:r>
        <w:br w:type="page"/>
      </w:r>
    </w:p>
    <w:p>
      <w:pPr>
        <w:pStyle w:val="Heading2"/>
      </w:pPr>
      <w:r>
        <w:t xml:space="preserve">9. Resumen Ejecutivo de Prioridades</w:t>
      </w:r>
    </w:p>
    <w:p>
      <w:pPr>
        <w:spacing w:after="120" w:line="276"/>
      </w:pPr>
      <w:r>
        <w:rPr>
          <w:rFonts w:ascii="Arial" w:cs="Arial" w:eastAsia="Arial" w:hAnsi="Arial"/>
          <w:color w:val="0F172A"/>
          <w:sz w:val="22"/>
          <w:szCs w:val="22"/>
        </w:rPr>
        <w:t xml:space="preserve">NexQuant tiene una base técnica sólida y una visión de producto diferenciada. La arquitectura de microservicios con Rust + Python + Next.js + NATS es moderna y escalable. La integración de Claude como Decision Layer es genuinamente innovadora y no tiene equivalente directo en el mercado. Sin embargo, hay cinco transformaciones necesarias para pasar de proyecto técnico a startup viable: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060"/>
      </w:tblGrid>
      <w:tr>
        <w:trPr>
          <w:tblHeader/>
        </w:trPr>
        <w:tc>
          <w:tcPr>
            <w:tcW w:type="dxa" w:w="5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Transformación</w:t>
            </w:r>
          </w:p>
        </w:tc>
        <w:tc>
          <w:tcPr>
            <w:tcW w:type="dxa" w:w="2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De</w:t>
            </w:r>
          </w:p>
        </w:tc>
        <w:tc>
          <w:tcPr>
            <w:tcW w:type="dxa" w:w="406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vAlign w:val="center"/>
          </w:tcPr>
          <w:p>
            <w:r>
              <w:rPr>
                <w:rFonts w:ascii="Arial" w:cs="Arial" w:eastAsia="Arial" w:hAnsi="Arial"/>
                <w:b/>
                <w:bCs/>
                <w:color w:val="FFFFFF"/>
                <w:sz w:val="20"/>
                <w:szCs w:val="20"/>
              </w:rPr>
              <w:t xml:space="preserve">A</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Compliance First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Sin regulación</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RIA registrado + KYC + suitability</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ML Científico</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ARIMA + K-Means básico</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Ensemble híbrido + HMM + Causal Alpha</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UX para Todos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Dashboard de trader</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Experiencia de inversor + Autopilot</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4</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Monetización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FREE/PRO binario</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 tiers + AUM fee + B2B</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Infraestructura</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Docker Compose sin TLS</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TLS + Redis + monitoring + backups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6"/>
              <w:bottom w:val="single" w:color="6366F1" w:sz="1"/>
              <w:right w:val="single" w:color="6366F1" w:sz="1"/>
            </w:tcBorders>
            <w:shd w:fill="EEF2FF" w:val="clear"/>
            <w:tcMar>
              <w:top w:type="dxa" w:w="120"/>
              <w:left w:type="dxa" w:w="200"/>
              <w:bottom w:type="dxa" w:w="120"/>
              <w:right w:type="dxa" w:w="200"/>
            </w:tcMar>
          </w:tcPr>
          <w:p>
            <w:pPr>
              <w:spacing w:after="60"/>
            </w:pPr>
            <w:r>
              <w:rPr>
                <w:rFonts w:ascii="Arial" w:cs="Arial" w:eastAsia="Arial" w:hAnsi="Arial"/>
                <w:b/>
                <w:bCs/>
                <w:color w:val="6366F1"/>
                <w:sz w:val="22"/>
                <w:szCs w:val="22"/>
              </w:rPr>
              <w:t xml:space="preserve">CONCLUSIÓN</w:t>
            </w:r>
          </w:p>
          <w:p>
            <w:pPr>
              <w:spacing w:after="0"/>
            </w:pPr>
            <w:r>
              <w:rPr>
                <w:rFonts w:ascii="Arial" w:cs="Arial" w:eastAsia="Arial" w:hAnsi="Arial"/>
                <w:color w:val="334155"/>
                <w:sz w:val="20"/>
                <w:szCs w:val="20"/>
              </w:rPr>
              <w:t xml:space="preserve">NexQuant tiene el potencial de ser la primera plataforma que verdaderamente democratice la inversión inteligente. La combinación de inferencia causal, validación por LLM, y ejecución autónoma multi-mercado no existe en ningún competidor actual. El camino de proyecto a startup requiere ejecutar las transformaciones en el orden correcto: primero compliance y seguridad (sin esto no hay negocio legal), luego ML científico (sin esto no hay alpha), luego UX (sin esto no hay usuarios), y finalmente monetización y escala. El roadmap de 18 meses propuesto cubre las cinco transformaciones con sprints de 4-6 semanas cada uno, priorizando las acciones de mayor impacto primero.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1"/>
      </w:pBdr>
      <w:jc w:val="center"/>
    </w:pPr>
    <w:r>
      <w:rPr>
        <w:rFonts w:ascii="Arial" w:cs="Arial" w:eastAsia="Arial" w:hAnsi="Arial"/>
        <w:color w:val="64748B"/>
        <w:sz w:val="16"/>
        <w:szCs w:val="16"/>
      </w:rPr>
      <w:t xml:space="preserve">Confidencial — NexQuant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1" w:space="1"/>
      </w:pBdr>
      <w:jc w:val="right"/>
    </w:pPr>
    <w:r>
      <w:rPr>
        <w:rFonts w:ascii="Arial" w:cs="Arial" w:eastAsia="Arial" w:hAnsi="Arial"/>
        <w:i/>
        <w:iCs/>
        <w:color w:val="64748B"/>
        <w:sz w:val="18"/>
        <w:szCs w:val="18"/>
      </w:rPr>
      <w:t xml:space="preserve">NexQuant — Strategic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366F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2026-03-01T18:01:25.891Z</dcterms:created>
  <dcterms:modified xsi:type="dcterms:W3CDTF">2026-03-01T18:01:25.892Z</dcterms:modified>
</cp:coreProperties>
</file>

<file path=docProps/custom.xml><?xml version="1.0" encoding="utf-8"?>
<Properties xmlns="http://schemas.openxmlformats.org/officeDocument/2006/custom-properties" xmlns:vt="http://schemas.openxmlformats.org/officeDocument/2006/docPropsVTypes"/>
</file>