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807200" cy="11341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1134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6" w:lineRule="exact" w:before="524" w:after="0"/>
        <w:ind w:left="720" w:right="0" w:firstLine="0"/>
        <w:jc w:val="left"/>
      </w:pPr>
      <w:r>
        <w:rPr>
          <w:rFonts w:ascii="Code2000" w:hAnsi="Code2000" w:eastAsia="Code2000"/>
          <w:b w:val="0"/>
          <w:i w:val="0"/>
          <w:color w:val="221F1F"/>
          <w:sz w:val="24"/>
        </w:rPr>
        <w:t xml:space="preserve">Responding to Proxy Cyber Operations Under International Law </w:t>
      </w:r>
    </w:p>
    <w:p>
      <w:pPr>
        <w:autoSpaceDN w:val="0"/>
        <w:autoSpaceDE w:val="0"/>
        <w:widowControl/>
        <w:spacing w:line="306" w:lineRule="exact" w:before="94" w:after="0"/>
        <w:ind w:left="720" w:right="0" w:firstLine="0"/>
        <w:jc w:val="left"/>
      </w:pPr>
      <w:r>
        <w:rPr>
          <w:rFonts w:ascii="Code2000" w:hAnsi="Code2000" w:eastAsia="Code2000"/>
          <w:b w:val="0"/>
          <w:i w:val="0"/>
          <w:color w:val="221F1F"/>
          <w:sz w:val="24"/>
        </w:rPr>
        <w:t xml:space="preserve">Author(s): Durward E. Johnson and Michael N. Schmitt </w:t>
      </w:r>
    </w:p>
    <w:p>
      <w:pPr>
        <w:autoSpaceDN w:val="0"/>
        <w:autoSpaceDE w:val="0"/>
        <w:widowControl/>
        <w:spacing w:line="240" w:lineRule="exact" w:before="160" w:after="0"/>
        <w:ind w:left="720" w:right="864" w:firstLine="0"/>
        <w:jc w:val="left"/>
      </w:pPr>
      <w:r/>
    </w:p>
    <w:p>
      <w:pPr>
        <w:autoSpaceDN w:val="0"/>
        <w:autoSpaceDE w:val="0"/>
        <w:widowControl/>
        <w:spacing w:line="306" w:lineRule="exact" w:before="94" w:after="0"/>
        <w:ind w:left="720" w:right="0" w:firstLine="0"/>
        <w:jc w:val="left"/>
      </w:pPr>
      <w:r/>
    </w:p>
    <w:p>
      <w:pPr>
        <w:autoSpaceDN w:val="0"/>
        <w:autoSpaceDE w:val="0"/>
        <w:widowControl/>
        <w:spacing w:line="306" w:lineRule="exact" w:before="174" w:after="0"/>
        <w:ind w:left="720" w:right="0" w:firstLine="0"/>
        <w:jc w:val="left"/>
      </w:pPr>
      <w:r>
        <w:rPr>
          <w:rFonts w:ascii="Code2000" w:hAnsi="Code2000" w:eastAsia="Code2000"/>
          <w:b w:val="0"/>
          <w:i w:val="0"/>
          <w:color w:val="221F1F"/>
          <w:sz w:val="24"/>
        </w:rPr>
        <w:t xml:space="preserve">Stable URL: </w:t>
      </w:r>
      <w:r>
        <w:rPr>
          <w:rFonts w:ascii="Code2000" w:hAnsi="Code2000" w:eastAsia="Code2000"/>
          <w:b w:val="0"/>
          <w:i w:val="0"/>
          <w:color w:val="221F1F"/>
          <w:sz w:val="24"/>
        </w:rPr>
        <w:hyperlink r:id="rId10" w:history="1">
          <w:r>
            <w:rPr>
              <w:rStyle w:val="Hyperlink"/>
            </w:rPr>
            <w:t>https://www.jstor.org/stable/10.2307/48631304</w:t>
          </w:r>
        </w:hyperlink>
      </w:r>
    </w:p>
    <w:p>
      <w:pPr>
        <w:autoSpaceDN w:val="0"/>
        <w:autoSpaceDE w:val="0"/>
        <w:widowControl/>
        <w:spacing w:line="240" w:lineRule="exact" w:before="400" w:after="0"/>
        <w:ind w:left="720" w:right="3744" w:firstLine="0"/>
        <w:jc w:val="left"/>
      </w:pPr>
      <w:r>
        <w:rPr>
          <w:rFonts w:ascii="Code2000" w:hAnsi="Code2000" w:eastAsia="Code2000"/>
          <w:b w:val="0"/>
          <w:i w:val="0"/>
          <w:color w:val="221F1F"/>
          <w:sz w:val="24"/>
        </w:rPr>
        <w:t xml:space="preserve">REFERENCES </w:t>
      </w:r>
      <w:r>
        <w:br/>
      </w:r>
      <w:r>
        <w:rPr>
          <w:rFonts w:ascii="Code2000" w:hAnsi="Code2000" w:eastAsia="Code2000"/>
          <w:b w:val="0"/>
          <w:i w:val="0"/>
          <w:color w:val="221F1F"/>
          <w:sz w:val="24"/>
        </w:rPr>
        <w:hyperlink r:id="rId11" w:history="1">
          <w:r>
            <w:rPr>
              <w:rStyle w:val="Hyperlink"/>
            </w:rPr>
            <w:t xml:space="preserve">Linked references are available on JSTOR for this article: </w:t>
          </w:r>
        </w:hyperlink>
      </w:r>
      <w:r>
        <w:br/>
      </w:r>
      <w:r>
        <w:rPr>
          <w:rFonts w:ascii="Code2000" w:hAnsi="Code2000" w:eastAsia="Code2000"/>
          <w:b w:val="0"/>
          <w:i w:val="0"/>
          <w:color w:val="221F1F"/>
          <w:sz w:val="24"/>
        </w:rPr>
        <w:hyperlink r:id="rId11" w:history="1">
          <w:r>
            <w:rPr>
              <w:rStyle w:val="Hyperlink"/>
            </w:rPr>
            <w:t>https://www.jstor.org/stable/10.230</w:t>
          </w:r>
        </w:hyperlink>
      </w:r>
      <w:r>
        <w:rPr>
          <w:rFonts w:ascii="Code2000" w:hAnsi="Code2000" w:eastAsia="Code2000"/>
          <w:b w:val="0"/>
          <w:i w:val="0"/>
          <w:color w:val="221F1F"/>
          <w:sz w:val="24"/>
        </w:rPr>
        <w:hyperlink r:id="rId11" w:history="1">
          <w:r>
            <w:rPr>
              <w:rStyle w:val="Hyperlink"/>
            </w:rPr>
            <w:t>7/48631304?seq=1&amp;cid=pdf-</w:t>
          </w:r>
        </w:hyperlink>
      </w:r>
      <w:r>
        <w:rPr>
          <w:rFonts w:ascii="Code2000" w:hAnsi="Code2000" w:eastAsia="Code2000"/>
          <w:b w:val="0"/>
          <w:i w:val="0"/>
          <w:color w:val="221F1F"/>
          <w:sz w:val="24"/>
        </w:rPr>
        <w:hyperlink r:id="rId11" w:history="1">
          <w:r>
            <w:rPr>
              <w:rStyle w:val="Hyperlink"/>
            </w:rPr>
            <w:t>reference#references_tab_contents</w:t>
          </w:r>
        </w:hyperlink>
      </w:r>
      <w:r>
        <w:rPr>
          <w:rFonts w:ascii="Code2000" w:hAnsi="Code2000" w:eastAsia="Code2000"/>
          <w:b w:val="0"/>
          <w:i w:val="0"/>
          <w:color w:val="221F1F"/>
          <w:sz w:val="24"/>
        </w:rPr>
        <w:t xml:space="preserve"> </w:t>
      </w:r>
      <w:r>
        <w:br/>
      </w:r>
      <w:r>
        <w:rPr>
          <w:rFonts w:ascii="Code2000" w:hAnsi="Code2000" w:eastAsia="Code2000"/>
          <w:b w:val="0"/>
          <w:i w:val="0"/>
          <w:color w:val="221F1F"/>
          <w:sz w:val="24"/>
        </w:rPr>
        <w:hyperlink r:id="rId11" w:history="1">
          <w:r>
            <w:rPr>
              <w:rStyle w:val="Hyperlink"/>
            </w:rPr>
            <w:t>You may need to log in to JSTOR to</w:t>
          </w:r>
        </w:hyperlink>
      </w:r>
      <w:r>
        <w:rPr>
          <w:rFonts w:ascii="Code2000" w:hAnsi="Code2000" w:eastAsia="Code2000"/>
          <w:b w:val="0"/>
          <w:i w:val="0"/>
          <w:color w:val="221F1F"/>
          <w:sz w:val="24"/>
        </w:rPr>
        <w:t xml:space="preserve"> access the linked references.</w:t>
      </w:r>
    </w:p>
    <w:p>
      <w:pPr>
        <w:autoSpaceDN w:val="0"/>
        <w:autoSpaceDE w:val="0"/>
        <w:widowControl/>
        <w:spacing w:line="180" w:lineRule="exact" w:before="488" w:after="0"/>
        <w:ind w:left="720" w:right="1008" w:firstLine="0"/>
        <w:jc w:val="left"/>
      </w:pPr>
      <w:r>
        <w:rPr>
          <w:rFonts w:ascii="Code2000" w:hAnsi="Code2000" w:eastAsia="Code2000"/>
          <w:b w:val="0"/>
          <w:i w:val="0"/>
          <w:color w:val="221F1F"/>
          <w:sz w:val="18"/>
        </w:rPr>
        <w:t xml:space="preserve">JSTOR is a not-for-profit service that helps scholars, researchers, and students discover, use, and build upon a wide </w:t>
      </w:r>
      <w:r>
        <w:rPr>
          <w:rFonts w:ascii="Code2000" w:hAnsi="Code2000" w:eastAsia="Code2000"/>
          <w:b w:val="0"/>
          <w:i w:val="0"/>
          <w:color w:val="221F1F"/>
          <w:sz w:val="18"/>
        </w:rPr>
        <w:t xml:space="preserve">range of content in a trusted digital archive. We use information technology and tools to increase productivity and </w:t>
      </w:r>
      <w:r>
        <w:rPr>
          <w:rFonts w:ascii="Code2000" w:hAnsi="Code2000" w:eastAsia="Code2000"/>
          <w:b w:val="0"/>
          <w:i w:val="0"/>
          <w:color w:val="221F1F"/>
          <w:sz w:val="18"/>
        </w:rPr>
        <w:t xml:space="preserve">facilitate new forms of scholarship. For more information about JSTOR, please contact support@jstor.org. </w:t>
      </w:r>
    </w:p>
    <w:p>
      <w:pPr>
        <w:autoSpaceDN w:val="0"/>
        <w:autoSpaceDE w:val="0"/>
        <w:widowControl/>
        <w:spacing w:line="180" w:lineRule="exact" w:before="180" w:after="5210"/>
        <w:ind w:left="720" w:right="2160" w:firstLine="0"/>
        <w:jc w:val="left"/>
      </w:pPr>
      <w:r/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6120"/>
        <w:gridCol w:w="6120"/>
      </w:tblGrid>
      <w:tr>
        <w:trPr>
          <w:trHeight w:hRule="exact" w:val="146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1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24840" cy="84835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" cy="8483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8" w:after="0"/>
              <w:ind w:left="54" w:right="720" w:firstLine="0"/>
              <w:jc w:val="left"/>
            </w:pPr>
            <w:r>
              <w:rPr>
                <w:rFonts w:ascii="Code2000" w:hAnsi="Code2000" w:eastAsia="Code2000"/>
                <w:b w:val="0"/>
                <w:i w:val="0"/>
                <w:color w:val="221F1F"/>
                <w:sz w:val="18"/>
              </w:rPr>
              <w:t xml:space="preserve">Army Cyber Institute  is collaborating with JSTOR to digitize, preserve and extend access to The </w:t>
            </w:r>
            <w:r>
              <w:rPr>
                <w:rFonts w:ascii="Code2000" w:hAnsi="Code2000" w:eastAsia="Code2000"/>
                <w:b w:val="0"/>
                <w:i w:val="0"/>
                <w:color w:val="221F1F"/>
                <w:sz w:val="18"/>
              </w:rPr>
              <w:t>Cyber Defense Review</w:t>
            </w:r>
          </w:p>
        </w:tc>
      </w:tr>
    </w:tbl>
    <w:p>
      <w:pPr>
        <w:autoSpaceDN w:val="0"/>
        <w:autoSpaceDE w:val="0"/>
        <w:widowControl/>
        <w:spacing w:line="160" w:lineRule="exact" w:before="390" w:after="0"/>
        <w:ind w:left="3888" w:right="3888" w:firstLine="0"/>
        <w:jc w:val="center"/>
      </w:pPr>
      <w:r/>
    </w:p>
    <w:p>
      <w:pPr>
        <w:sectPr>
          <w:pgSz w:w="12240" w:h="16640"/>
          <w:pgMar w:top="38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70"/>
        <w:ind w:left="0" w:right="0"/>
      </w:pPr>
    </w:p>
    <w:p>
      <w:pPr>
        <w:autoSpaceDN w:val="0"/>
        <w:autoSpaceDE w:val="0"/>
        <w:widowControl/>
        <w:spacing w:line="720" w:lineRule="exact" w:before="0" w:after="0"/>
        <w:ind w:left="0" w:right="0" w:firstLine="0"/>
        <w:jc w:val="center"/>
      </w:pPr>
      <w:r>
        <w:rPr>
          <w:rFonts w:ascii="FLOREN" w:hAnsi="FLOREN" w:eastAsia="FLOREN"/>
          <w:b w:val="0"/>
          <w:i w:val="0"/>
          <w:color w:val="57585A"/>
          <w:sz w:val="72"/>
        </w:rPr>
        <w:t>The Cyber Defense Review</w:t>
      </w:r>
    </w:p>
    <w:p>
      <w:pPr>
        <w:autoSpaceDN w:val="0"/>
        <w:autoSpaceDE w:val="0"/>
        <w:widowControl/>
        <w:spacing w:line="480" w:lineRule="exact" w:before="408" w:after="0"/>
        <w:ind w:left="0" w:right="0" w:firstLine="0"/>
        <w:jc w:val="center"/>
      </w:pPr>
      <w:r>
        <w:rPr>
          <w:rFonts w:ascii="Listicons" w:hAnsi="Listicons" w:eastAsia="Listicons"/>
          <w:b w:val="0"/>
          <w:i w:val="0"/>
          <w:color w:val="B1B3B5"/>
          <w:sz w:val="36"/>
        </w:rPr>
        <w:t>m</w:t>
      </w:r>
      <w:r>
        <w:rPr>
          <w:rFonts w:ascii="FLOREN" w:hAnsi="FLOREN" w:eastAsia="FLOREN"/>
          <w:b w:val="0"/>
          <w:i w:val="0"/>
          <w:color w:val="57585A"/>
          <w:sz w:val="48"/>
        </w:rPr>
        <w:t>Senior Leader  Perspective</w:t>
      </w:r>
      <w:r>
        <w:rPr>
          <w:rFonts w:ascii="Listicons" w:hAnsi="Listicons" w:eastAsia="Listicons"/>
          <w:b w:val="0"/>
          <w:i w:val="0"/>
          <w:color w:val="B1B3B5"/>
          <w:sz w:val="36"/>
        </w:rPr>
        <w:t xml:space="preserve"> m</w:t>
      </w:r>
    </w:p>
    <w:p>
      <w:pPr>
        <w:autoSpaceDN w:val="0"/>
        <w:autoSpaceDE w:val="0"/>
        <w:widowControl/>
        <w:spacing w:line="358" w:lineRule="exact" w:before="7604" w:after="0"/>
        <w:ind w:left="0" w:right="1000" w:firstLine="0"/>
        <w:jc w:val="right"/>
      </w:pPr>
      <w:r/>
    </w:p>
    <w:p>
      <w:pPr>
        <w:autoSpaceDN w:val="0"/>
        <w:autoSpaceDE w:val="0"/>
        <w:widowControl/>
        <w:spacing w:line="160" w:lineRule="exact" w:before="290" w:after="0"/>
        <w:ind w:left="2736" w:right="2736" w:firstLine="0"/>
        <w:jc w:val="center"/>
      </w:pPr>
      <w:r/>
    </w:p>
    <w:p>
      <w:pPr>
        <w:sectPr>
          <w:pgSz w:w="10080" w:h="15200"/>
          <w:pgMar w:top="144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908" w:after="0"/>
        <w:ind w:left="0" w:right="0" w:firstLine="0"/>
        <w:jc w:val="center"/>
      </w:pPr>
      <w:r/>
    </w:p>
    <w:p>
      <w:pPr>
        <w:autoSpaceDN w:val="0"/>
        <w:autoSpaceDE w:val="0"/>
        <w:widowControl/>
        <w:spacing w:line="358" w:lineRule="exact" w:before="12290" w:after="0"/>
        <w:ind w:left="976" w:right="0" w:firstLine="0"/>
        <w:jc w:val="left"/>
      </w:pPr>
      <w:r/>
    </w:p>
    <w:p>
      <w:pPr>
        <w:autoSpaceDN w:val="0"/>
        <w:autoSpaceDE w:val="0"/>
        <w:widowControl/>
        <w:spacing w:line="160" w:lineRule="exact" w:before="294" w:after="0"/>
        <w:ind w:left="2736" w:right="2736" w:firstLine="0"/>
        <w:jc w:val="center"/>
      </w:pPr>
      <w:r/>
    </w:p>
    <w:p>
      <w:pPr>
        <w:sectPr>
          <w:pgSz w:w="10080" w:h="152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908" w:after="0"/>
        <w:ind w:left="0" w:right="0" w:firstLine="0"/>
        <w:jc w:val="center"/>
      </w:pPr>
      <w:r/>
    </w:p>
    <w:p>
      <w:pPr>
        <w:autoSpaceDN w:val="0"/>
        <w:autoSpaceDE w:val="0"/>
        <w:widowControl/>
        <w:spacing w:line="520" w:lineRule="exact" w:before="462" w:after="0"/>
        <w:ind w:left="1252" w:right="3888" w:firstLine="0"/>
        <w:jc w:val="left"/>
      </w:pPr>
      <w:r>
        <w:rPr>
          <w:rFonts w:ascii="ArticulatCF" w:hAnsi="ArticulatCF" w:eastAsia="ArticulatCF"/>
          <w:b w:val="0"/>
          <w:i w:val="0"/>
          <w:color w:val="221F1F"/>
          <w:sz w:val="48"/>
        </w:rPr>
        <w:t xml:space="preserve">Responding to Proxy </w:t>
      </w:r>
      <w:r>
        <w:br/>
      </w:r>
      <w:r>
        <w:rPr>
          <w:rFonts w:ascii="ArticulatCF" w:hAnsi="ArticulatCF" w:eastAsia="ArticulatCF"/>
          <w:b w:val="0"/>
          <w:i w:val="0"/>
          <w:color w:val="221F1F"/>
          <w:sz w:val="48"/>
        </w:rPr>
        <w:t xml:space="preserve">Cyber Operations </w:t>
      </w:r>
      <w:r>
        <w:br/>
      </w:r>
      <w:r>
        <w:rPr>
          <w:rFonts w:ascii="ArticulatCF" w:hAnsi="ArticulatCF" w:eastAsia="ArticulatCF"/>
          <w:b w:val="0"/>
          <w:i w:val="0"/>
          <w:color w:val="221F1F"/>
          <w:sz w:val="48"/>
        </w:rPr>
        <w:t>Under International Law</w:t>
      </w:r>
    </w:p>
    <w:p>
      <w:pPr>
        <w:autoSpaceDN w:val="0"/>
        <w:autoSpaceDE w:val="0"/>
        <w:widowControl/>
        <w:spacing w:line="360" w:lineRule="exact" w:before="310" w:after="0"/>
        <w:ind w:left="1252" w:right="4320" w:firstLine="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8"/>
        </w:rPr>
        <w:t xml:space="preserve">Lieutenant Colonel Durward E. Johnson </w:t>
      </w:r>
      <w:r>
        <w:br/>
      </w:r>
      <w:r>
        <w:rPr>
          <w:rFonts w:ascii="CorporateAPro" w:hAnsi="CorporateAPro" w:eastAsia="CorporateAPro"/>
          <w:b w:val="0"/>
          <w:i w:val="0"/>
          <w:color w:val="221F1F"/>
          <w:sz w:val="28"/>
        </w:rPr>
        <w:t>Professor Michael N. Schmitt</w:t>
      </w:r>
    </w:p>
    <w:p>
      <w:pPr>
        <w:autoSpaceDN w:val="0"/>
        <w:tabs>
          <w:tab w:pos="1260" w:val="left"/>
          <w:tab w:pos="1262" w:val="left"/>
          <w:tab w:pos="2012" w:val="left"/>
        </w:tabs>
        <w:autoSpaceDE w:val="0"/>
        <w:widowControl/>
        <w:spacing w:line="0" w:lineRule="exact" w:before="3048" w:after="0"/>
        <w:ind w:left="1234" w:right="720" w:firstLine="0"/>
        <w:jc w:val="left"/>
      </w:pPr>
      <w:r>
        <w:rPr>
          <w:rFonts w:ascii="CorporateAPro" w:hAnsi="CorporateAPro" w:eastAsia="CorporateAPro"/>
          <w:b w:val="0"/>
          <w:i w:val="0"/>
          <w:color w:val="626366"/>
          <w:sz w:val="147"/>
        </w:rPr>
        <w:t xml:space="preserve">T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part to avoid provoking a direct military response.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[2]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Increasingly, cyberspace is that grey </w:t>
      </w:r>
      <w:r>
        <w:tab/>
      </w:r>
      <w:r>
        <w:tab/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strategic competition with Russia and China—near-peer adversaries adept at op-</w:t>
      </w:r>
      <w:r>
        <w:tab/>
      </w:r>
      <w:r>
        <w:tab/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erating in the grey zone of international law, where the precise contours of the </w:t>
      </w:r>
      <w:r>
        <w:tab/>
      </w:r>
      <w:r>
        <w:tab/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law are difficult to discern.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[1]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They do so to complicate our response options, in </w:t>
      </w:r>
      <w:r>
        <w:rPr>
          <w:rFonts w:ascii="ArticulatCF" w:hAnsi="ArticulatCF" w:eastAsia="ArticulatCF"/>
          <w:b w:val="0"/>
          <w:i w:val="0"/>
          <w:color w:val="626366"/>
          <w:sz w:val="22"/>
        </w:rPr>
        <w:t>INTRODUCTION</w:t>
      </w:r>
    </w:p>
    <w:p>
      <w:pPr>
        <w:autoSpaceDN w:val="0"/>
        <w:autoSpaceDE w:val="0"/>
        <w:widowControl/>
        <w:spacing w:line="280" w:lineRule="exact" w:before="0" w:after="0"/>
        <w:ind w:left="2012" w:right="0" w:firstLine="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he United States (US), its allies, and other partners are engaged in long-term </w:t>
      </w:r>
    </w:p>
    <w:p>
      <w:pPr>
        <w:autoSpaceDN w:val="0"/>
        <w:autoSpaceDE w:val="0"/>
        <w:widowControl/>
        <w:spacing w:line="280" w:lineRule="exact" w:before="1120" w:after="0"/>
        <w:ind w:left="1260" w:right="720" w:firstLine="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>zone, a domain in which Russia, China, and other adversaries such as Iran and North Ko-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rea mount cyber operations ranging from cyber-enabled espionage, theft, and propagan-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da campaigns to significantly more disruptive and destructive operations. In particular,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they often leverage non-state actors—cyber proxies—to do their bidding because proxies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further complicate legal and policy assessments of the operations. And those assess-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ments determine the response options available to victim states.</w:t>
      </w:r>
    </w:p>
    <w:p>
      <w:pPr>
        <w:autoSpaceDN w:val="0"/>
        <w:autoSpaceDE w:val="0"/>
        <w:widowControl/>
        <w:spacing w:line="280" w:lineRule="exact" w:before="90" w:after="0"/>
        <w:ind w:left="1260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>As a general matter, states agree that they “must not use proxies to commit interna-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tionally wrongful acts…[and] should seek to ensure that their territories are not used by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non-State actors for unlawful use of ICTs [information and communications technology].”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 xml:space="preserve">[3]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The legal challenge is that the nature of proxy use differs from case to case, and these dis-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tinctions determine the lawfulness of responses. Russia’s relationship with proxy groups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provides a good example. At one end of the spectrum lies tacit approval of hostile cyber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operations conducted independently by non-state patriotic hackers. Recall the large-scale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denial of service (DDoS) cyber operations against Estonia in 2007 that shut down, among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other things, government websites, key banks, and news outlets. Although the extent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of its involvement remains murky, Russia’s failure to condemn the operations and take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measures to terminate those mounted from its territory evidence at least tacit approval.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[4]</w:t>
      </w:r>
    </w:p>
    <w:p>
      <w:pPr>
        <w:autoSpaceDN w:val="0"/>
        <w:autoSpaceDE w:val="0"/>
        <w:widowControl/>
        <w:spacing w:line="186" w:lineRule="exact" w:before="324" w:after="0"/>
        <w:ind w:left="1252" w:right="0" w:firstLine="0"/>
        <w:jc w:val="left"/>
      </w:pPr>
      <w:r>
        <w:rPr>
          <w:rFonts w:ascii="CorporateAPro" w:hAnsi="CorporateAPro" w:eastAsia="CorporateAPro"/>
          <w:b w:val="0"/>
          <w:i/>
          <w:color w:val="221F1F"/>
          <w:sz w:val="14"/>
        </w:rPr>
        <w:t>This is a work of the U.S. Government and is not subject to copyright protection in the United States. Foreign copyrights may apply.</w:t>
      </w:r>
    </w:p>
    <w:p>
      <w:pPr>
        <w:autoSpaceDN w:val="0"/>
        <w:autoSpaceDE w:val="0"/>
        <w:widowControl/>
        <w:spacing w:line="358" w:lineRule="exact" w:before="886" w:after="0"/>
        <w:ind w:left="0" w:right="1000" w:firstLine="0"/>
        <w:jc w:val="right"/>
      </w:pPr>
      <w:r/>
    </w:p>
    <w:p>
      <w:pPr>
        <w:autoSpaceDN w:val="0"/>
        <w:autoSpaceDE w:val="0"/>
        <w:widowControl/>
        <w:spacing w:line="160" w:lineRule="exact" w:before="290" w:after="0"/>
        <w:ind w:left="2736" w:right="2736" w:firstLine="0"/>
        <w:jc w:val="center"/>
      </w:pPr>
      <w:r/>
    </w:p>
    <w:p>
      <w:pPr>
        <w:sectPr>
          <w:pgSz w:w="10080" w:h="152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autoSpaceDE w:val="0"/>
        <w:widowControl/>
        <w:spacing w:line="240" w:lineRule="exact" w:before="16" w:after="188"/>
        <w:ind w:left="0" w:right="0" w:firstLine="0"/>
        <w:jc w:val="center"/>
      </w:pPr>
      <w:r/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5040"/>
        <w:gridCol w:w="5040"/>
      </w:tblGrid>
      <w:tr>
        <w:trPr>
          <w:trHeight w:hRule="exact" w:val="10940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4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59280" cy="231648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280" cy="2316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60" w:lineRule="exact" w:before="208" w:after="0"/>
              <w:ind w:left="460" w:right="144" w:firstLine="0"/>
              <w:jc w:val="left"/>
            </w:pPr>
            <w:r>
              <w:rPr>
                <w:rFonts w:ascii="FreightSansCmpPro" w:hAnsi="FreightSansCmpPro" w:eastAsia="FreightSansCmpPro"/>
                <w:b w:val="0"/>
                <w:i w:val="0"/>
                <w:color w:val="221F1F"/>
                <w:sz w:val="22"/>
              </w:rPr>
              <w:t xml:space="preserve">Lieutenant Colonel Durward E. Johnson </w:t>
            </w:r>
            <w:r>
              <w:br/>
            </w:r>
            <w:r>
              <w:rPr>
                <w:rFonts w:ascii="FreightSansCmpPro" w:hAnsi="FreightSansCmpPro" w:eastAsia="FreightSansCmpPro"/>
                <w:b w:val="0"/>
                <w:i w:val="0"/>
                <w:color w:val="221F1F"/>
                <w:sz w:val="22"/>
              </w:rPr>
              <w:t xml:space="preserve">is Chief of Military Justice, III Corps and Fort </w:t>
            </w:r>
            <w:r>
              <w:rPr>
                <w:rFonts w:ascii="FreightSansCmpPro" w:hAnsi="FreightSansCmpPro" w:eastAsia="FreightSansCmpPro"/>
                <w:b w:val="0"/>
                <w:i w:val="0"/>
                <w:color w:val="221F1F"/>
                <w:sz w:val="22"/>
              </w:rPr>
              <w:t xml:space="preserve">Hood, Texas. He was the Associate Director </w:t>
            </w:r>
            <w:r>
              <w:br/>
            </w:r>
            <w:r>
              <w:rPr>
                <w:rFonts w:ascii="FreightSansCmpPro" w:hAnsi="FreightSansCmpPro" w:eastAsia="FreightSansCmpPro"/>
                <w:b w:val="0"/>
                <w:i w:val="0"/>
                <w:color w:val="221F1F"/>
                <w:sz w:val="22"/>
              </w:rPr>
              <w:t xml:space="preserve">for Law of Land Warfare and Professor of </w:t>
            </w:r>
            <w:r>
              <w:br/>
            </w:r>
            <w:r>
              <w:rPr>
                <w:rFonts w:ascii="FreightSansCmpPro" w:hAnsi="FreightSansCmpPro" w:eastAsia="FreightSansCmpPro"/>
                <w:b w:val="0"/>
                <w:i w:val="0"/>
                <w:color w:val="221F1F"/>
                <w:sz w:val="22"/>
              </w:rPr>
              <w:t xml:space="preserve">International Law at the Stockton Center for </w:t>
            </w:r>
            <w:r>
              <w:rPr>
                <w:rFonts w:ascii="FreightSansCmpPro" w:hAnsi="FreightSansCmpPro" w:eastAsia="FreightSansCmpPro"/>
                <w:b w:val="0"/>
                <w:i w:val="0"/>
                <w:color w:val="221F1F"/>
                <w:sz w:val="22"/>
              </w:rPr>
              <w:t xml:space="preserve">International Law and the U.S. Naval War </w:t>
            </w:r>
            <w:r>
              <w:br/>
            </w:r>
            <w:r>
              <w:rPr>
                <w:rFonts w:ascii="FreightSansCmpPro" w:hAnsi="FreightSansCmpPro" w:eastAsia="FreightSansCmpPro"/>
                <w:b w:val="0"/>
                <w:i w:val="0"/>
                <w:color w:val="221F1F"/>
                <w:sz w:val="22"/>
              </w:rPr>
              <w:t xml:space="preserve">College in Newport, Rhode Island as well as </w:t>
            </w:r>
            <w:r>
              <w:rPr>
                <w:rFonts w:ascii="FreightSansCmpPro" w:hAnsi="FreightSansCmpPro" w:eastAsia="FreightSansCmpPro"/>
                <w:b w:val="0"/>
                <w:i w:val="0"/>
                <w:color w:val="221F1F"/>
                <w:sz w:val="22"/>
              </w:rPr>
              <w:t xml:space="preserve">the U.S. Army’s senior operational law trainer </w:t>
            </w:r>
            <w:r>
              <w:rPr>
                <w:rFonts w:ascii="FreightSansCmpPro" w:hAnsi="FreightSansCmpPro" w:eastAsia="FreightSansCmpPro"/>
                <w:b w:val="0"/>
                <w:i w:val="0"/>
                <w:color w:val="221F1F"/>
                <w:sz w:val="22"/>
              </w:rPr>
              <w:t xml:space="preserve">at the Joint Multinational Readiness Center. </w:t>
            </w:r>
            <w:r>
              <w:rPr>
                <w:rFonts w:ascii="FreightSansCmpPro" w:hAnsi="FreightSansCmpPro" w:eastAsia="FreightSansCmpPro"/>
                <w:b w:val="0"/>
                <w:i w:val="0"/>
                <w:color w:val="221F1F"/>
                <w:sz w:val="22"/>
              </w:rPr>
              <w:t xml:space="preserve">He has also been a legal advisor deployed in </w:t>
            </w:r>
            <w:r>
              <w:rPr>
                <w:rFonts w:ascii="FreightSansCmpPro" w:hAnsi="FreightSansCmpPro" w:eastAsia="FreightSansCmpPro"/>
                <w:b w:val="0"/>
                <w:i w:val="0"/>
                <w:color w:val="221F1F"/>
                <w:sz w:val="22"/>
              </w:rPr>
              <w:t xml:space="preserve">support of military operations in Afghanistan </w:t>
            </w:r>
            <w:r>
              <w:rPr>
                <w:rFonts w:ascii="FreightSansCmpPro" w:hAnsi="FreightSansCmpPro" w:eastAsia="FreightSansCmpPro"/>
                <w:b w:val="0"/>
                <w:i w:val="0"/>
                <w:color w:val="221F1F"/>
                <w:sz w:val="22"/>
              </w:rPr>
              <w:t xml:space="preserve">and Iraq. LTC Johnson holds an LL.M. in Military </w:t>
            </w:r>
            <w:r>
              <w:rPr>
                <w:rFonts w:ascii="FreightSansCmpPro" w:hAnsi="FreightSansCmpPro" w:eastAsia="FreightSansCmpPro"/>
                <w:b w:val="0"/>
                <w:i w:val="0"/>
                <w:color w:val="221F1F"/>
                <w:sz w:val="22"/>
              </w:rPr>
              <w:t xml:space="preserve">Law from The Judge Advocate General’s Legal </w:t>
            </w:r>
            <w:r>
              <w:rPr>
                <w:rFonts w:ascii="FreightSansCmpPro" w:hAnsi="FreightSansCmpPro" w:eastAsia="FreightSansCmpPro"/>
                <w:b w:val="0"/>
                <w:i w:val="0"/>
                <w:color w:val="221F1F"/>
                <w:sz w:val="22"/>
              </w:rPr>
              <w:t xml:space="preserve">Center &amp; School, a J.D. from Loyola Law School, </w:t>
            </w:r>
            <w:r>
              <w:rPr>
                <w:rFonts w:ascii="FreightSansCmpPro" w:hAnsi="FreightSansCmpPro" w:eastAsia="FreightSansCmpPro"/>
                <w:b w:val="0"/>
                <w:i w:val="0"/>
                <w:color w:val="221F1F"/>
                <w:sz w:val="22"/>
              </w:rPr>
              <w:t xml:space="preserve">Los Angeles, and a Bachelor of Science from </w:t>
            </w:r>
            <w:r>
              <w:rPr>
                <w:rFonts w:ascii="FreightSansCmpPro" w:hAnsi="FreightSansCmpPro" w:eastAsia="FreightSansCmpPro"/>
                <w:b w:val="0"/>
                <w:i w:val="0"/>
                <w:color w:val="221F1F"/>
                <w:sz w:val="22"/>
              </w:rPr>
              <w:t>the University of Texas at Austin.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262" w:right="288" w:firstLine="0"/>
              <w:jc w:val="left"/>
            </w:pP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But the paucity of evidence as to Russian government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>involvement or control not only allowed Russia plausi-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ble deniability but also severely limited its adversaries’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response options. At the other end of the spectrum,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>Russian security and intelligence services have di-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>rected hostile cyber operations by cyber proxies.</w:t>
            </w:r>
            <w:r>
              <w:rPr>
                <w:w w:val="98.66154010479266"/>
                <w:rFonts w:ascii="CorporateAPro" w:hAnsi="CorporateAPro" w:eastAsia="CorporateAPro"/>
                <w:b w:val="0"/>
                <w:i w:val="0"/>
                <w:color w:val="221F1F"/>
                <w:sz w:val="13"/>
              </w:rPr>
              <w:t>[5]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 An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example is the massive Yahoo data breach that began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>in 2014. Three years later, a U.S. federal grand jury in-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dicted two Russian Federal Security Service officers for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conspiring with cybercriminals to commit cybercrime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>and espionage.</w:t>
            </w:r>
            <w:r>
              <w:rPr>
                <w:w w:val="98.66154010479266"/>
                <w:rFonts w:ascii="CorporateAPro" w:hAnsi="CorporateAPro" w:eastAsia="CorporateAPro"/>
                <w:b w:val="0"/>
                <w:i w:val="0"/>
                <w:color w:val="221F1F"/>
                <w:sz w:val="13"/>
              </w:rPr>
              <w:t>[6]</w:t>
            </w:r>
          </w:p>
          <w:p>
            <w:pPr>
              <w:autoSpaceDN w:val="0"/>
              <w:autoSpaceDE w:val="0"/>
              <w:widowControl/>
              <w:spacing w:line="280" w:lineRule="exact" w:before="90" w:after="0"/>
              <w:ind w:left="262" w:right="288" w:firstLine="180"/>
              <w:jc w:val="left"/>
            </w:pP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>The relationships between proxy groups and gov-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>ernments usually fall between these extremes. Some-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>times, states employ a multifaceted approach, as Rus-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sia did in its 2020 U.S. federal elections influence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campaign, which included operations by “Russia’s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intelligence services, Ukraine-linked individuals with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ties to Russian intelligence and their networks, and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>Russian state media, trolls, and online proxies.”</w:t>
            </w:r>
            <w:r>
              <w:rPr>
                <w:w w:val="98.66154010479266"/>
                <w:rFonts w:ascii="CorporateAPro" w:hAnsi="CorporateAPro" w:eastAsia="CorporateAPro"/>
                <w:b w:val="0"/>
                <w:i w:val="0"/>
                <w:color w:val="221F1F"/>
                <w:sz w:val="13"/>
              </w:rPr>
              <w:t>[7]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 Oth-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>er recent incidents in which the precise extent and na-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ture of Russian government involvement remains an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open question include the Colonial Pipeline and JBS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>ransomware operations.</w:t>
            </w:r>
          </w:p>
          <w:p>
            <w:pPr>
              <w:autoSpaceDN w:val="0"/>
              <w:autoSpaceDE w:val="0"/>
              <w:widowControl/>
              <w:spacing w:line="280" w:lineRule="exact" w:before="90" w:after="0"/>
              <w:ind w:left="262" w:right="288" w:firstLine="180"/>
              <w:jc w:val="left"/>
            </w:pP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>This article addresses an issue appearing in the Ar-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>my’s 2021–22 Key Strategic Issues List: “</w:t>
            </w:r>
            <w:r>
              <w:rPr>
                <w:rFonts w:ascii="CorporateAPro" w:hAnsi="CorporateAPro" w:eastAsia="CorporateAPro"/>
                <w:b w:val="0"/>
                <w:i/>
                <w:color w:val="221F1F"/>
                <w:sz w:val="22"/>
              </w:rPr>
              <w:t>Assess Rus-</w:t>
            </w:r>
            <w:r>
              <w:rPr>
                <w:rFonts w:ascii="CorporateAPro" w:hAnsi="CorporateAPro" w:eastAsia="CorporateAPro"/>
                <w:b w:val="0"/>
                <w:i/>
                <w:color w:val="221F1F"/>
                <w:sz w:val="22"/>
              </w:rPr>
              <w:t>sia’s use of proxy or patriotic hackers and evaluate inter-</w:t>
            </w:r>
            <w:r>
              <w:rPr>
                <w:rFonts w:ascii="CorporateAPro" w:hAnsi="CorporateAPro" w:eastAsia="CorporateAPro"/>
                <w:b w:val="0"/>
                <w:i/>
                <w:color w:val="221F1F"/>
                <w:sz w:val="22"/>
              </w:rPr>
              <w:t xml:space="preserve">national laws and norms that can be used to limit their </w:t>
            </w:r>
            <w:r>
              <w:rPr>
                <w:rFonts w:ascii="CorporateAPro" w:hAnsi="CorporateAPro" w:eastAsia="CorporateAPro"/>
                <w:b w:val="0"/>
                <w:i/>
                <w:color w:val="221F1F"/>
                <w:sz w:val="22"/>
              </w:rPr>
              <w:t>use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>.”</w:t>
            </w:r>
            <w:r>
              <w:rPr>
                <w:w w:val="98.66154010479266"/>
                <w:rFonts w:ascii="CorporateAPro" w:hAnsi="CorporateAPro" w:eastAsia="CorporateAPro"/>
                <w:b w:val="0"/>
                <w:i w:val="0"/>
                <w:color w:val="221F1F"/>
                <w:sz w:val="13"/>
              </w:rPr>
              <w:t xml:space="preserve">[8]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As will be illustrated, it is generally the interplay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between the type of harm caused by a hostile cyber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operation, the legal attributability of the operation to a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state, and the legal nature of the proposed response that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determines how the victim state may respond. Analysis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begins with a discussion of the international rules most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likely to be violated by either a proxy’s hostile cyber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operation or the proposed cyber response by the victim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state. Those response options will also be determined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by whether the proxy’s operation can be attributed to a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state as a matter of law, the subsequent topic addressed </w:t>
            </w:r>
          </w:p>
        </w:tc>
      </w:tr>
    </w:tbl>
    <w:p>
      <w:pPr>
        <w:autoSpaceDN w:val="0"/>
        <w:autoSpaceDE w:val="0"/>
        <w:widowControl/>
        <w:spacing w:line="358" w:lineRule="exact" w:before="1162" w:after="0"/>
        <w:ind w:left="976" w:right="0" w:firstLine="0"/>
        <w:jc w:val="left"/>
      </w:pPr>
      <w:r/>
    </w:p>
    <w:p>
      <w:pPr>
        <w:autoSpaceDN w:val="0"/>
        <w:autoSpaceDE w:val="0"/>
        <w:widowControl/>
        <w:spacing w:line="160" w:lineRule="exact" w:before="294" w:after="0"/>
        <w:ind w:left="2736" w:right="2736" w:firstLine="0"/>
        <w:jc w:val="center"/>
      </w:pPr>
      <w:r/>
    </w:p>
    <w:p>
      <w:pPr>
        <w:sectPr>
          <w:pgSz w:w="10080" w:h="15200"/>
          <w:pgMar w:top="446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autoSpaceDE w:val="0"/>
        <w:widowControl/>
        <w:spacing w:line="240" w:lineRule="exact" w:before="16" w:after="188"/>
        <w:ind w:left="0" w:right="0" w:firstLine="0"/>
        <w:jc w:val="center"/>
      </w:pPr>
      <w:r/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5040"/>
        <w:gridCol w:w="5040"/>
      </w:tblGrid>
      <w:tr>
        <w:trPr>
          <w:trHeight w:hRule="exact" w:val="10264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45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58010" cy="231394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010" cy="23139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60" w:lineRule="exact" w:before="210" w:after="0"/>
              <w:ind w:left="460" w:right="144" w:firstLine="0"/>
              <w:jc w:val="left"/>
            </w:pPr>
            <w:r>
              <w:rPr>
                <w:rFonts w:ascii="FreightSansCmpPro" w:hAnsi="FreightSansCmpPro" w:eastAsia="FreightSansCmpPro"/>
                <w:b w:val="0"/>
                <w:i w:val="0"/>
                <w:color w:val="221F1F"/>
                <w:sz w:val="22"/>
              </w:rPr>
              <w:t>Michael N. Schmitt</w:t>
            </w:r>
            <w:r>
              <w:rPr>
                <w:rFonts w:ascii="FreightSansCmpPro" w:hAnsi="FreightSansCmpPro" w:eastAsia="FreightSansCmpPro"/>
                <w:b w:val="0"/>
                <w:i w:val="0"/>
                <w:color w:val="221F1F"/>
                <w:sz w:val="22"/>
              </w:rPr>
              <w:t xml:space="preserve"> is Professor of International </w:t>
            </w:r>
            <w:r>
              <w:rPr>
                <w:rFonts w:ascii="FreightSansCmpPro" w:hAnsi="FreightSansCmpPro" w:eastAsia="FreightSansCmpPro"/>
                <w:b w:val="0"/>
                <w:i w:val="0"/>
                <w:color w:val="221F1F"/>
                <w:sz w:val="22"/>
              </w:rPr>
              <w:t xml:space="preserve">Law at the University of Reading in the United </w:t>
            </w:r>
            <w:r>
              <w:rPr>
                <w:rFonts w:ascii="FreightSansCmpPro" w:hAnsi="FreightSansCmpPro" w:eastAsia="FreightSansCmpPro"/>
                <w:b w:val="0"/>
                <w:i w:val="0"/>
                <w:color w:val="221F1F"/>
                <w:sz w:val="22"/>
              </w:rPr>
              <w:t xml:space="preserve">Kingdom, G. Norman Lieber Distinguished </w:t>
            </w:r>
            <w:r>
              <w:br/>
            </w:r>
            <w:r>
              <w:rPr>
                <w:rFonts w:ascii="FreightSansCmpPro" w:hAnsi="FreightSansCmpPro" w:eastAsia="FreightSansCmpPro"/>
                <w:b w:val="0"/>
                <w:i w:val="0"/>
                <w:color w:val="221F1F"/>
                <w:sz w:val="22"/>
              </w:rPr>
              <w:t xml:space="preserve">Scholar at the U.S. Military Academy at West </w:t>
            </w:r>
            <w:r>
              <w:rPr>
                <w:rFonts w:ascii="FreightSansCmpPro" w:hAnsi="FreightSansCmpPro" w:eastAsia="FreightSansCmpPro"/>
                <w:b w:val="0"/>
                <w:i w:val="0"/>
                <w:color w:val="221F1F"/>
                <w:sz w:val="22"/>
              </w:rPr>
              <w:t xml:space="preserve">Point, Charles H. Stockton Distinguished </w:t>
            </w:r>
            <w:r>
              <w:br/>
            </w:r>
            <w:r>
              <w:rPr>
                <w:rFonts w:ascii="FreightSansCmpPro" w:hAnsi="FreightSansCmpPro" w:eastAsia="FreightSansCmpPro"/>
                <w:b w:val="0"/>
                <w:i w:val="0"/>
                <w:color w:val="221F1F"/>
                <w:sz w:val="22"/>
              </w:rPr>
              <w:t xml:space="preserve">Scholar-in-Residence at the U.S. Naval War </w:t>
            </w:r>
            <w:r>
              <w:br/>
            </w:r>
            <w:r>
              <w:rPr>
                <w:rFonts w:ascii="FreightSansCmpPro" w:hAnsi="FreightSansCmpPro" w:eastAsia="FreightSansCmpPro"/>
                <w:b w:val="0"/>
                <w:i w:val="0"/>
                <w:color w:val="221F1F"/>
                <w:sz w:val="22"/>
              </w:rPr>
              <w:t xml:space="preserve">College, NATO Cooperative Cyber Defense Center </w:t>
            </w:r>
            <w:r>
              <w:rPr>
                <w:rFonts w:ascii="FreightSansCmpPro" w:hAnsi="FreightSansCmpPro" w:eastAsia="FreightSansCmpPro"/>
                <w:b w:val="0"/>
                <w:i w:val="0"/>
                <w:color w:val="221F1F"/>
                <w:sz w:val="22"/>
              </w:rPr>
              <w:t xml:space="preserve">of Excellence Senior Fellow, and Strauss Center </w:t>
            </w:r>
            <w:r>
              <w:rPr>
                <w:rFonts w:ascii="FreightSansCmpPro" w:hAnsi="FreightSansCmpPro" w:eastAsia="FreightSansCmpPro"/>
                <w:b w:val="0"/>
                <w:i w:val="0"/>
                <w:color w:val="221F1F"/>
                <w:sz w:val="22"/>
              </w:rPr>
              <w:t xml:space="preserve">Distinguished Scholar and Visiting Professor of </w:t>
            </w:r>
            <w:r>
              <w:rPr>
                <w:rFonts w:ascii="FreightSansCmpPro" w:hAnsi="FreightSansCmpPro" w:eastAsia="FreightSansCmpPro"/>
                <w:b w:val="0"/>
                <w:i w:val="0"/>
                <w:color w:val="221F1F"/>
                <w:sz w:val="22"/>
              </w:rPr>
              <w:t xml:space="preserve">Law at the University of Texas. The Director of </w:t>
            </w:r>
            <w:r>
              <w:rPr>
                <w:rFonts w:ascii="FreightSansCmpPro" w:hAnsi="FreightSansCmpPro" w:eastAsia="FreightSansCmpPro"/>
                <w:b w:val="0"/>
                <w:i w:val="0"/>
                <w:color w:val="221F1F"/>
                <w:sz w:val="22"/>
              </w:rPr>
              <w:t xml:space="preserve">the Tallinn Manual 3.0 Project, Schmitt serves on </w:t>
            </w:r>
            <w:r>
              <w:rPr>
                <w:rFonts w:ascii="FreightSansCmpPro" w:hAnsi="FreightSansCmpPro" w:eastAsia="FreightSansCmpPro"/>
                <w:b w:val="0"/>
                <w:i w:val="0"/>
                <w:color w:val="221F1F"/>
                <w:sz w:val="22"/>
              </w:rPr>
              <w:t xml:space="preserve">the Department of State’s Advisory Committee </w:t>
            </w:r>
            <w:r>
              <w:rPr>
                <w:rFonts w:ascii="FreightSansCmpPro" w:hAnsi="FreightSansCmpPro" w:eastAsia="FreightSansCmpPro"/>
                <w:b w:val="0"/>
                <w:i w:val="0"/>
                <w:color w:val="221F1F"/>
                <w:sz w:val="22"/>
              </w:rPr>
              <w:t xml:space="preserve">on International Law, is a member of the </w:t>
            </w:r>
            <w:r>
              <w:br/>
            </w:r>
            <w:r>
              <w:rPr>
                <w:rFonts w:ascii="FreightSansCmpPro" w:hAnsi="FreightSansCmpPro" w:eastAsia="FreightSansCmpPro"/>
                <w:b w:val="0"/>
                <w:i w:val="0"/>
                <w:color w:val="221F1F"/>
                <w:sz w:val="22"/>
              </w:rPr>
              <w:t xml:space="preserve">Council on Foreign Relations and a Fellow of </w:t>
            </w:r>
            <w:r>
              <w:rPr>
                <w:rFonts w:ascii="FreightSansCmpPro" w:hAnsi="FreightSansCmpPro" w:eastAsia="FreightSansCmpPro"/>
                <w:b w:val="0"/>
                <w:i w:val="0"/>
                <w:color w:val="221F1F"/>
                <w:sz w:val="22"/>
              </w:rPr>
              <w:t xml:space="preserve">the Royal Society of Arts. Follow him on Twitter </w:t>
            </w:r>
            <w:r>
              <w:rPr>
                <w:rFonts w:ascii="FreightSansCmpPro" w:hAnsi="FreightSansCmpPro" w:eastAsia="FreightSansCmpPro"/>
                <w:b w:val="0"/>
                <w:i w:val="0"/>
                <w:color w:val="221F1F"/>
                <w:sz w:val="22"/>
              </w:rPr>
              <w:t>(@Schmitt_ILaw).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262" w:right="288" w:firstLine="0"/>
              <w:jc w:val="left"/>
            </w:pP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below. Such legal attribution must not be confused with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>technical attribution, which denotes evidence of the re-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lationship, and from political attribution, which simply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refers to a policy decision to blame another state. The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foundation laid, the discussion will proceed serially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through the various categories of responses existing in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international law, zeroing in on the legal preconditions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that must exist before engaging in them against a proxy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group or the affiliated state. </w:t>
            </w:r>
          </w:p>
          <w:p>
            <w:pPr>
              <w:autoSpaceDN w:val="0"/>
              <w:autoSpaceDE w:val="0"/>
              <w:widowControl/>
              <w:spacing w:line="280" w:lineRule="exact" w:before="90" w:after="0"/>
              <w:ind w:left="262" w:right="404" w:firstLine="180"/>
              <w:jc w:val="both"/>
            </w:pP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Two points must be made at the outset. First,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“proxy” is not a legal term. Instead, international law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asks more specifically about the relationship between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the non-state actor and the state concerned. As used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in this article, “proxy” simply refers to an individual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or group with some link to a state. Whether a proxy’s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hostile cyber operations are legally attributable to a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state depends on the attendant circumstances, which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>will be outlined below.</w:t>
            </w:r>
          </w:p>
          <w:p>
            <w:pPr>
              <w:autoSpaceDN w:val="0"/>
              <w:autoSpaceDE w:val="0"/>
              <w:widowControl/>
              <w:spacing w:line="280" w:lineRule="exact" w:before="90" w:after="0"/>
              <w:ind w:left="262" w:right="404" w:firstLine="180"/>
              <w:jc w:val="both"/>
            </w:pP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Second, the analysis is not limited to Russian use of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proxies, for the identity of the state that has resorted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to their use is irrelevant in international law pursuant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to the principle of sovereign equality. The analysis that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follows is as applicable to the use of proxies by states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>such as China, Iran, and North Korea as it is to Russia.</w:t>
            </w:r>
            <w:r>
              <w:rPr>
                <w:w w:val="98.66154010479266"/>
                <w:rFonts w:ascii="CorporateAPro" w:hAnsi="CorporateAPro" w:eastAsia="CorporateAPro"/>
                <w:b w:val="0"/>
                <w:i w:val="0"/>
                <w:color w:val="221F1F"/>
                <w:sz w:val="13"/>
              </w:rPr>
              <w:t>[9]</w:t>
            </w:r>
          </w:p>
          <w:p>
            <w:pPr>
              <w:autoSpaceDN w:val="0"/>
              <w:autoSpaceDE w:val="0"/>
              <w:widowControl/>
              <w:spacing w:line="292" w:lineRule="exact" w:before="84" w:after="0"/>
              <w:ind w:left="442" w:right="0" w:firstLine="0"/>
              <w:jc w:val="left"/>
            </w:pPr>
            <w:r>
              <w:rPr>
                <w:rFonts w:ascii="CorporateAPro" w:hAnsi="CorporateAPro" w:eastAsia="CorporateAPro"/>
                <w:b/>
                <w:i/>
                <w:color w:val="221F1F"/>
                <w:sz w:val="22"/>
              </w:rPr>
              <w:t>Unlawful Cyber Operations</w:t>
            </w:r>
          </w:p>
          <w:p>
            <w:pPr>
              <w:autoSpaceDN w:val="0"/>
              <w:autoSpaceDE w:val="0"/>
              <w:widowControl/>
              <w:spacing w:line="280" w:lineRule="exact" w:before="84" w:after="0"/>
              <w:ind w:left="262" w:right="288" w:firstLine="180"/>
              <w:jc w:val="left"/>
            </w:pP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The range of lawful response options in the face of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proxy cyber operations is determined in part by 1)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>whether the proxy’s operation constitutes an “interna-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tionally wrongful act” (unlawful cyber operation) by the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affiliated state, 2) whether the victim state’s proposed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cyber response is unlawful, and 3) the existence of any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“circumstances precluding wrongfulness,” a legal term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>of art, that would render lawful the victim state’s other-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wise unlawful response to the cyber operation directed </w:t>
            </w:r>
            <w:r>
              <w:rPr>
                <w:rFonts w:ascii="CorporateAPro" w:hAnsi="CorporateAPro" w:eastAsia="CorporateAPro"/>
                <w:b w:val="0"/>
                <w:i w:val="0"/>
                <w:color w:val="221F1F"/>
                <w:sz w:val="22"/>
              </w:rPr>
              <w:t xml:space="preserve">against it. </w:t>
            </w:r>
          </w:p>
        </w:tc>
      </w:tr>
    </w:tbl>
    <w:p>
      <w:pPr>
        <w:autoSpaceDN w:val="0"/>
        <w:autoSpaceDE w:val="0"/>
        <w:widowControl/>
        <w:spacing w:line="280" w:lineRule="exact" w:before="46" w:after="0"/>
        <w:ind w:left="0" w:right="844" w:firstLine="0"/>
        <w:jc w:val="righ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There are scores of international law rules that hostile </w:t>
      </w:r>
    </w:p>
    <w:p>
      <w:pPr>
        <w:autoSpaceDN w:val="0"/>
        <w:autoSpaceDE w:val="0"/>
        <w:widowControl/>
        <w:spacing w:line="280" w:lineRule="exact" w:before="0" w:after="0"/>
        <w:ind w:left="0" w:right="900" w:firstLine="0"/>
        <w:jc w:val="righ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>cyber operations, or responses to them, might violate.</w:t>
      </w:r>
    </w:p>
    <w:p>
      <w:pPr>
        <w:autoSpaceDN w:val="0"/>
        <w:autoSpaceDE w:val="0"/>
        <w:widowControl/>
        <w:spacing w:line="358" w:lineRule="exact" w:before="1236" w:after="0"/>
        <w:ind w:left="0" w:right="1000" w:firstLine="0"/>
        <w:jc w:val="right"/>
      </w:pPr>
      <w:r/>
    </w:p>
    <w:p>
      <w:pPr>
        <w:autoSpaceDN w:val="0"/>
        <w:autoSpaceDE w:val="0"/>
        <w:widowControl/>
        <w:spacing w:line="160" w:lineRule="exact" w:before="290" w:after="0"/>
        <w:ind w:left="2736" w:right="2736" w:firstLine="0"/>
        <w:jc w:val="center"/>
      </w:pPr>
      <w:r/>
    </w:p>
    <w:p>
      <w:pPr>
        <w:sectPr>
          <w:pgSz w:w="10080" w:h="15200"/>
          <w:pgMar w:top="446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autoSpaceDE w:val="0"/>
        <w:widowControl/>
        <w:spacing w:line="240" w:lineRule="exact" w:before="16" w:after="0"/>
        <w:ind w:left="0" w:right="0" w:firstLine="0"/>
        <w:jc w:val="center"/>
      </w:pPr>
      <w:r/>
    </w:p>
    <w:p>
      <w:pPr>
        <w:autoSpaceDN w:val="0"/>
        <w:autoSpaceDE w:val="0"/>
        <w:widowControl/>
        <w:spacing w:line="278" w:lineRule="exact" w:before="256" w:after="0"/>
        <w:ind w:left="900" w:right="844" w:firstLine="0"/>
        <w:jc w:val="both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The </w:t>
      </w:r>
      <w:r>
        <w:rPr>
          <w:rFonts w:ascii="CorporateAPro" w:hAnsi="CorporateAPro" w:eastAsia="CorporateAPro"/>
          <w:b w:val="0"/>
          <w:i/>
          <w:color w:val="221F1F"/>
          <w:sz w:val="22"/>
        </w:rPr>
        <w:t>Tallinn Manual 2.0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project sponsored by the NATO Cooperative Cyber Defence Centre of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Excellence identified many.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[10]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They range from violations of diplomatic or international human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rights law to cyber operations that breach the obligations found in the law of the sea, air, or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outer space. Excluding violations of the law of armed conflict, three loom large—the obligation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to respect the sovereignty of other states, the prohibition on coercive intervention, and the use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of force.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[11]</w:t>
      </w:r>
    </w:p>
    <w:p>
      <w:pPr>
        <w:autoSpaceDN w:val="0"/>
        <w:autoSpaceDE w:val="0"/>
        <w:widowControl/>
        <w:spacing w:line="280" w:lineRule="exact" w:before="90" w:after="0"/>
        <w:ind w:left="900" w:right="844" w:firstLine="180"/>
        <w:jc w:val="both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Most international law rules, including the three key ones, apply only to states. Although the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cyber operations of non-state groups can be criminal acts under the laws of a state that enjoys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jurisdiction, without attribution of the cyber operation to a state as a matter of law, there is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generally no international law violation. In other words, the question in the proxy context is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whether the proxy’s operation would breach one of these rules had the state itself conducted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it and, if so, whether the proxy’s conduct is legally attributable to the state. Before turning to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attribution, therefore, the first step is to examine when cyber operations breach international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law obligations.</w:t>
      </w:r>
    </w:p>
    <w:p>
      <w:pPr>
        <w:autoSpaceDN w:val="0"/>
        <w:autoSpaceDE w:val="0"/>
        <w:widowControl/>
        <w:spacing w:line="280" w:lineRule="exact" w:before="90" w:after="0"/>
        <w:ind w:left="900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The most likely obligation to be breached by a cyber operation is respect for another state’s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sovereignty. There has been some controversy regarding whether violation of sovereignty is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even a rule of international law, with the United Kingdom suggesting in 2018 that it is not.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 xml:space="preserve">[12]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The United Kingdom argues that a state’s remotely-conducted cyber operation into another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state’s territory does not violate its sovereignty, irrespective of the consequences of the oper-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ation; accordingly, neither would a proxy’s operation. Since then, every state that has taken a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firm stance on the matter accepts the existence of a rule of sovereignty. NATO’s Cyber Doctrine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even reflects the rule.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[13]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The US position, however, remains ambiguous.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[14]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Yet when the United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Kingdom issued a “reservation” (a statement of disagreement) regarding NATO’s acknowledg-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ment of the rule, the US did not.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[15]</w:t>
      </w:r>
    </w:p>
    <w:p>
      <w:pPr>
        <w:autoSpaceDN w:val="0"/>
        <w:autoSpaceDE w:val="0"/>
        <w:widowControl/>
        <w:spacing w:line="280" w:lineRule="exact" w:before="90" w:after="0"/>
        <w:ind w:left="900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From a legal perspective, the better view is that a rule of sovereignty exists. As a general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matter, there are two ways a cyber operation can violate sovereignty. First, a cyber operation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can do so based on territoriality. This occurs when a state’s cyber operation, or a proxy’s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operation attributable to a state, causes certain effects on another state’s territory. Physi-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cal damage or injury, as well as permanent loss of functionality, clearly suffice. Whether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remotely causing effects that do not reach this level violates sovereignty remains an open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question that will only be settled once states publicly begin to set forth their views on the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matter.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[16]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For instance, there is no consensus about whether temporarily interfering with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the cyberinfrastructure’s functionality or causing it to operate in other than the intended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manner qualifies. That said, there is agreement that the rule protects both private and public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infrastructure. Additionally, the requisite effects can be caused indirectly. As an example, a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cyber operation against a state’s COVID-19 management system will violate sovereignty if it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results in illness or death that might otherwise have been avoided.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[17]</w:t>
      </w:r>
    </w:p>
    <w:p>
      <w:pPr>
        <w:autoSpaceDN w:val="0"/>
        <w:autoSpaceDE w:val="0"/>
        <w:widowControl/>
        <w:spacing w:line="280" w:lineRule="exact" w:before="90" w:after="0"/>
        <w:ind w:left="1080" w:right="0" w:firstLine="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Second, interference with, or usurpation of, an inherently governmental function violates </w:t>
      </w:r>
    </w:p>
    <w:p>
      <w:pPr>
        <w:autoSpaceDN w:val="0"/>
        <w:autoSpaceDE w:val="0"/>
        <w:widowControl/>
        <w:spacing w:line="358" w:lineRule="exact" w:before="1042" w:after="0"/>
        <w:ind w:left="976" w:right="0" w:firstLine="0"/>
        <w:jc w:val="left"/>
      </w:pPr>
      <w:r/>
    </w:p>
    <w:p>
      <w:pPr>
        <w:autoSpaceDN w:val="0"/>
        <w:autoSpaceDE w:val="0"/>
        <w:widowControl/>
        <w:spacing w:line="160" w:lineRule="exact" w:before="294" w:after="0"/>
        <w:ind w:left="2736" w:right="2736" w:firstLine="0"/>
        <w:jc w:val="center"/>
      </w:pPr>
      <w:r/>
    </w:p>
    <w:p>
      <w:pPr>
        <w:sectPr>
          <w:pgSz w:w="10080" w:h="15200"/>
          <w:pgMar w:top="446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autoSpaceDE w:val="0"/>
        <w:widowControl/>
        <w:spacing w:line="240" w:lineRule="exact" w:before="16" w:after="0"/>
        <w:ind w:left="0" w:right="0" w:firstLine="0"/>
        <w:jc w:val="center"/>
      </w:pPr>
      <w:r/>
    </w:p>
    <w:p>
      <w:pPr>
        <w:autoSpaceDN w:val="0"/>
        <w:autoSpaceDE w:val="0"/>
        <w:widowControl/>
        <w:spacing w:line="280" w:lineRule="exact" w:before="248" w:after="0"/>
        <w:ind w:left="900" w:right="720" w:firstLine="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>sovereignty.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[18]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Inherently governmental functions are those that only a state has the authority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to perform. Examples include conducting elections, tax collection, law enforcement, national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crisis management, diplomacy, and national defense. Interference occurs when the cyber op-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eration makes it materially more difficult to perform the function, as in temporarily disrupting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the operation of election machinery or interfering with defensive military systems like ear-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ly-warning radars. Usurpation involves performing inherently governmental functions in lieu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of the other state, as in conducting law enforcement measures against proxies, such as remote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searches or virtual seizure in another state’s territory without that state’s permission.</w:t>
      </w:r>
    </w:p>
    <w:p>
      <w:pPr>
        <w:autoSpaceDN w:val="0"/>
        <w:autoSpaceDE w:val="0"/>
        <w:widowControl/>
        <w:spacing w:line="280" w:lineRule="exact" w:before="90" w:after="0"/>
        <w:ind w:left="900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Unlike sovereignty, the rule of non-intervention is uncontroversial, with all states accepting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its application in the cyber context. Intervention has two elements. First, the cyber operation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has to involve a state’s internal or external affairs (the so-called </w:t>
      </w:r>
      <w:r>
        <w:rPr>
          <w:rFonts w:ascii="CorporateAPro" w:hAnsi="CorporateAPro" w:eastAsia="CorporateAPro"/>
          <w:b w:val="0"/>
          <w:i/>
          <w:color w:val="221F1F"/>
          <w:sz w:val="22"/>
        </w:rPr>
        <w:t>domaine réservé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[19]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). These are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areas of activity that international law leaves to states to regulate, such as the state’s political,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economic, and social policies. Second, the hostile cyber operation in question must be coercive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in the sense of depriving the victim state of choice by forcing it to (a) adopt a policy it would not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otherwise adopt (b) refrain from adopting one it would otherwise adopt or (c) execute a policy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in a manner that differs from that intended. Mere persuasion, influence, or diplomatic pressure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is insufficient, as are propaganda and most other information operations, even when untruth-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ful. Cyber operations motivated by other than a desire to address policy choice or execution,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such as those that are purely criminal, as is often the case with North Korean operations,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 xml:space="preserve">[20]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also do not qualify.</w:t>
      </w:r>
    </w:p>
    <w:p>
      <w:pPr>
        <w:autoSpaceDN w:val="0"/>
        <w:autoSpaceDE w:val="0"/>
        <w:widowControl/>
        <w:spacing w:line="280" w:lineRule="exact" w:before="90" w:after="0"/>
        <w:ind w:left="900" w:right="844" w:firstLine="180"/>
        <w:jc w:val="both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Absent either element, a proxy’s cyber operation, whether attributable to a state or not, does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not violate the intervention rule (although it might violate other rules, such as sovereignty).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For example, it is not intervention to use proxies to engage in an information campaign that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benefits a candidate during another state’s election, but it would be to have them manipulate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election machinery or provide false but believable information as to how to vote online (when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online voting is not allowed).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[21]</w:t>
      </w:r>
    </w:p>
    <w:p>
      <w:pPr>
        <w:autoSpaceDN w:val="0"/>
        <w:autoSpaceDE w:val="0"/>
        <w:widowControl/>
        <w:spacing w:line="280" w:lineRule="exact" w:before="90" w:after="0"/>
        <w:ind w:left="900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In extreme cases, a proxy’s cyber operation that is legally attributable to a state could violate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the customary law prohibition on the use of force codified in Article 2(4) of the UN Charter.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All states agree that the prohibition applies in the cyber context; the challenge lies in identi-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fying those operations crossing the use of force threshold. And as with the sovereignty and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intervention rules, a proxy’s cyber operation must be attributable to a state to violate the use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of force prohibition. If it is not, it is mere criminality under the domestic laws of states having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jurisdiction over the matter. </w:t>
      </w:r>
    </w:p>
    <w:p>
      <w:pPr>
        <w:autoSpaceDN w:val="0"/>
        <w:autoSpaceDE w:val="0"/>
        <w:widowControl/>
        <w:spacing w:line="280" w:lineRule="exact" w:before="90" w:after="0"/>
        <w:ind w:left="900" w:right="844" w:firstLine="180"/>
        <w:jc w:val="both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There is broad agreement that a cyber operation causing physical damage or injury beyond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 </w:t>
      </w:r>
      <w:r>
        <w:rPr>
          <w:rFonts w:ascii="CorporateAPro" w:hAnsi="CorporateAPro" w:eastAsia="CorporateAPro"/>
          <w:b w:val="0"/>
          <w:i/>
          <w:color w:val="221F1F"/>
          <w:sz w:val="22"/>
        </w:rPr>
        <w:t>de</w:t>
      </w:r>
      <w:r>
        <w:rPr>
          <w:rFonts w:ascii="CorporateAPro" w:hAnsi="CorporateAPro" w:eastAsia="CorporateAPro"/>
          <w:b w:val="0"/>
          <w:i/>
          <w:color w:val="221F1F"/>
          <w:sz w:val="22"/>
        </w:rPr>
        <w:t>minimis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level amounts to a use of force, as would an operation causing substantial loss of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 targeted system’s functionality. Below that threshold, consensus among states has proven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elusive. Increasingly, they are adopting a case-by-case approach that assesses the “scale and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effects” of a cyber operation to determine whether it crosses the use of force line.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[22]</w:t>
      </w:r>
    </w:p>
    <w:p>
      <w:pPr>
        <w:autoSpaceDN w:val="0"/>
        <w:autoSpaceDE w:val="0"/>
        <w:widowControl/>
        <w:spacing w:line="358" w:lineRule="exact" w:before="1046" w:after="0"/>
        <w:ind w:left="0" w:right="1000" w:firstLine="0"/>
        <w:jc w:val="right"/>
      </w:pPr>
      <w:r/>
    </w:p>
    <w:p>
      <w:pPr>
        <w:autoSpaceDN w:val="0"/>
        <w:autoSpaceDE w:val="0"/>
        <w:widowControl/>
        <w:spacing w:line="160" w:lineRule="exact" w:before="290" w:after="0"/>
        <w:ind w:left="2736" w:right="2736" w:firstLine="0"/>
        <w:jc w:val="center"/>
      </w:pPr>
      <w:r/>
    </w:p>
    <w:p>
      <w:pPr>
        <w:sectPr>
          <w:pgSz w:w="10080" w:h="15200"/>
          <w:pgMar w:top="446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autoSpaceDE w:val="0"/>
        <w:widowControl/>
        <w:spacing w:line="240" w:lineRule="exact" w:before="16" w:after="0"/>
        <w:ind w:left="0" w:right="0" w:firstLine="0"/>
        <w:jc w:val="center"/>
      </w:pPr>
      <w:r/>
    </w:p>
    <w:p>
      <w:pPr>
        <w:autoSpaceDN w:val="0"/>
        <w:autoSpaceDE w:val="0"/>
        <w:widowControl/>
        <w:spacing w:line="280" w:lineRule="exact" w:before="248" w:after="0"/>
        <w:ind w:left="908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The adoption of this approach is significant, for it signals that in the view of these states,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there may be proxy cyber operations that are neither destructive nor injurious but that nev-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ertheless qualify as uses of force. France, for example, has taken the position that a cyber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campaign resulting in severe nationwide economic disruption could qualify as such, and the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Netherlands has hinted that it is willing to come to the same conclusion.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[23]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By this approach,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states will look at an array of non-exclusive factors in deciding whether a proxy’s cyber oper-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ation is of sufficient scale and if the effects amount to a use of force by the state to which it is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attributable. The factors that will be considered include, but are not limited to, the severity of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consequences, the geopolitical situation, the track record of the state engaging in the cyber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operation, the immediacy and directness of its effects, the entity launching the operation (e.g.,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military, intelligence, proxy), and the target. However, until states begin to add granularity to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their position, the legal character of a particularly severe but non-destructive or injurious cy-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ber operation will remain uncertain.</w:t>
      </w:r>
    </w:p>
    <w:p>
      <w:pPr>
        <w:autoSpaceDN w:val="0"/>
        <w:autoSpaceDE w:val="0"/>
        <w:widowControl/>
        <w:spacing w:line="280" w:lineRule="exact" w:before="90" w:after="0"/>
        <w:ind w:left="908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Importantly, espionage, as such, does not violate international law. Therefore, neither a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proxy’s cyber espionage nor espionage by a victim state used to fashion a response is unlawful.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That said, if the consequences of the espionage qualify as a violation of international law, for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instance, because it damages the targeted cyberinfrastructure or is being used for law en-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forcement purposes (both sovereignty violations), the operation will be unlawful on that basis.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Thus, whether a cyber operation has breached an international law obligation is sometimes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uncertain. Nevertheless, determining whether a proxy’s hostile operation or a state’s response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to such an operation breaches international law is a necessary first step in identifying lawful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response options. </w:t>
      </w:r>
    </w:p>
    <w:p>
      <w:pPr>
        <w:autoSpaceDN w:val="0"/>
        <w:autoSpaceDE w:val="0"/>
        <w:widowControl/>
        <w:spacing w:line="292" w:lineRule="exact" w:before="84" w:after="0"/>
        <w:ind w:left="1088" w:right="0" w:firstLine="0"/>
        <w:jc w:val="left"/>
      </w:pPr>
      <w:r>
        <w:rPr>
          <w:rFonts w:ascii="CorporateAPro" w:hAnsi="CorporateAPro" w:eastAsia="CorporateAPro"/>
          <w:b/>
          <w:i/>
          <w:color w:val="221F1F"/>
          <w:sz w:val="22"/>
        </w:rPr>
        <w:t>Attribution</w:t>
      </w:r>
    </w:p>
    <w:p>
      <w:pPr>
        <w:autoSpaceDN w:val="0"/>
        <w:autoSpaceDE w:val="0"/>
        <w:widowControl/>
        <w:spacing w:line="280" w:lineRule="exact" w:before="84" w:after="0"/>
        <w:ind w:left="908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The second step in identifying response options is determining whether a proxy’s cyber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operation is attributable to a state under international law. As explained, establishing interna-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tional law violations requires both a breach of an international law obligation and attribution of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the cyber operation in question to a state (labeled the “responsible state” in international law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terms). Only after deciding whether the proxy’s operation satisfies both criteria, and whether a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particular response by the victim state (the “injured state”) would breach any legal obligation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itself can the full range of response options for a specific incident be identified. </w:t>
      </w:r>
    </w:p>
    <w:p>
      <w:pPr>
        <w:autoSpaceDN w:val="0"/>
        <w:autoSpaceDE w:val="0"/>
        <w:widowControl/>
        <w:spacing w:line="280" w:lineRule="exact" w:before="90" w:after="0"/>
        <w:ind w:left="908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There are multiple bases for attributing a proxy’s cyber operations to a state. To begin with,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individuals, groups, or other entities are considered </w:t>
      </w:r>
      <w:r>
        <w:rPr>
          <w:rFonts w:ascii="CorporateAPro" w:hAnsi="CorporateAPro" w:eastAsia="CorporateAPro"/>
          <w:b w:val="0"/>
          <w:i/>
          <w:color w:val="221F1F"/>
          <w:sz w:val="22"/>
        </w:rPr>
        <w:t>de facto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organs for purposes of legal attri-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bution if they are completely dependent on the state, as when an intelligence agency creates an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unofficial group for the express purpose of conducting hostile cyber operations, funds (perhaps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secretly) the group, and determines its operations.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[24]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In these cases, a proxy is essentially an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instrument of the state.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[25]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Cyber operations are also attributable to a state where individuals,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groups, or entities are legally empowered by the state to “exercise elements of governmen-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tal authority.”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[26]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The activities must be quintessentially governmental. An example would be </w:t>
      </w:r>
    </w:p>
    <w:p>
      <w:pPr>
        <w:autoSpaceDN w:val="0"/>
        <w:autoSpaceDE w:val="0"/>
        <w:widowControl/>
        <w:spacing w:line="358" w:lineRule="exact" w:before="1042" w:after="0"/>
        <w:ind w:left="976" w:right="0" w:firstLine="0"/>
        <w:jc w:val="left"/>
      </w:pPr>
      <w:r/>
    </w:p>
    <w:p>
      <w:pPr>
        <w:autoSpaceDN w:val="0"/>
        <w:autoSpaceDE w:val="0"/>
        <w:widowControl/>
        <w:spacing w:line="160" w:lineRule="exact" w:before="294" w:after="0"/>
        <w:ind w:left="2736" w:right="2736" w:firstLine="0"/>
        <w:jc w:val="center"/>
      </w:pPr>
      <w:r/>
    </w:p>
    <w:p>
      <w:pPr>
        <w:sectPr>
          <w:pgSz w:w="10080" w:h="15200"/>
          <w:pgMar w:top="446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autoSpaceDE w:val="0"/>
        <w:widowControl/>
        <w:spacing w:line="240" w:lineRule="exact" w:before="16" w:after="0"/>
        <w:ind w:left="0" w:right="0" w:firstLine="0"/>
        <w:jc w:val="center"/>
      </w:pPr>
      <w:r/>
    </w:p>
    <w:p>
      <w:pPr>
        <w:autoSpaceDN w:val="0"/>
        <w:autoSpaceDE w:val="0"/>
        <w:widowControl/>
        <w:spacing w:line="280" w:lineRule="exact" w:before="248" w:after="0"/>
        <w:ind w:left="900" w:right="720" w:firstLine="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contracting with a private company to perform non-commercial cyber espionage on behalf of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the state or conduct offensive cyber operations against the state’s adversary. </w:t>
      </w:r>
    </w:p>
    <w:p>
      <w:pPr>
        <w:autoSpaceDN w:val="0"/>
        <w:autoSpaceDE w:val="0"/>
        <w:widowControl/>
        <w:spacing w:line="280" w:lineRule="exact" w:before="96" w:after="0"/>
        <w:ind w:left="900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In both of these situations, even proxy cyber operations that are </w:t>
      </w:r>
      <w:r>
        <w:rPr>
          <w:rFonts w:ascii="CorporateAPro" w:hAnsi="CorporateAPro" w:eastAsia="CorporateAPro"/>
          <w:b w:val="0"/>
          <w:i/>
          <w:color w:val="221F1F"/>
          <w:sz w:val="22"/>
        </w:rPr>
        <w:t>ultra vires,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that is, beyond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the scope of the authority granted by the state, are attributable to it so long as they are related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to the activity. For example, if a company is hired to conduct offensive operations (a quintes-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sential governmental activity) but instructed not to target particular government cyberinfra-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structure, yet it nevertheless directs operations against that infrastructure, the state will be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responsible for the operations. But if the company engages in classic cybercrime for its own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profit, the state will not bear responsibility. </w:t>
      </w:r>
    </w:p>
    <w:p>
      <w:pPr>
        <w:autoSpaceDN w:val="0"/>
        <w:autoSpaceDE w:val="0"/>
        <w:widowControl/>
        <w:spacing w:line="280" w:lineRule="exact" w:before="90" w:after="0"/>
        <w:ind w:left="900" w:right="844" w:firstLine="180"/>
        <w:jc w:val="both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The most common basis for legally attributing proxy cyber operations to a state is when they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are conducted “on the instructions of, or under the direction or control of, that state.”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[27]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Acting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on a state’s instructions generally occurs when a state recruits or instigates a proxy to perform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as its “auxiliary” without having any official or legal connection to that state.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[28]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For instance,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the state could recruit a group of volunteer patriotic hackers to supplement its cyber actions,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as in conducting espionage that supports the state’s hostile operations. As a matter of law, the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state would be responsible for the hostile cyber operations conducted by the proxy.</w:t>
      </w:r>
    </w:p>
    <w:p>
      <w:pPr>
        <w:autoSpaceDN w:val="0"/>
        <w:autoSpaceDE w:val="0"/>
        <w:widowControl/>
        <w:spacing w:line="280" w:lineRule="exact" w:before="90" w:after="0"/>
        <w:ind w:left="900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The “direction or control” standard applies when the proxy’s affiliation with the state is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looser than that of a proxy acting as an auxiliary. In its </w:t>
      </w:r>
      <w:r>
        <w:rPr>
          <w:rFonts w:ascii="CorporateAPro" w:hAnsi="CorporateAPro" w:eastAsia="CorporateAPro"/>
          <w:b w:val="0"/>
          <w:i/>
          <w:color w:val="221F1F"/>
          <w:sz w:val="22"/>
        </w:rPr>
        <w:t>Nicaragua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judgment, the International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Court of Justice suggested that a proxy’s acts are attributable when the state directs or controls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specific operations; the Court labeled this “effective control.” General support or encourage-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ment of cyber proxy operations is not enough.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[29]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The Court even held that a state’s participa-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tion in the “financing, organizing, training, supplying, and equipping” of a proxy organization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and “the selection of its military or paramilitary targets, and the planning of the whole of its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operation” did not reach the “effective control” threshold.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 xml:space="preserve">[30]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Such involvement in the cyber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operations would likely amount to unlawful intervention into the internal affairs of the target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state, but the proxy’s actions themselves would not be attributable to the state concerned.</w:t>
      </w:r>
    </w:p>
    <w:p>
      <w:pPr>
        <w:autoSpaceDN w:val="0"/>
        <w:autoSpaceDE w:val="0"/>
        <w:widowControl/>
        <w:spacing w:line="280" w:lineRule="exact" w:before="90" w:after="0"/>
        <w:ind w:left="900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Finally, a proxy’s cyber operation is attributable as a matter of law to a state when the latter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“acknowledges and adopts the conduct in question as its own.”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[31]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The standard requires the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state to acknowledge, through words or conduct, that the hostile cyber operation occurred. It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must also adopt the proxy’s operation by taking affirmative steps to protect or otherwise facili-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tate its continuation. This happens in very limited situations, for states typically use proxies so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they can distance themselves from the hostile cyber operation. </w:t>
      </w:r>
    </w:p>
    <w:p>
      <w:pPr>
        <w:autoSpaceDN w:val="0"/>
        <w:autoSpaceDE w:val="0"/>
        <w:widowControl/>
        <w:spacing w:line="280" w:lineRule="exact" w:before="90" w:after="0"/>
        <w:ind w:left="900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Assessing whether the nature of the relationship between a cyber proxy and a state satisfies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the requirements for legal attribution is challenging due to the high thresholds of the various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attribution rules and the difficulty of factually establishing the nature of the relationship be-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tween the proxy and the state. Complicating matters is the absence of any agreed-upon eviden-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tiary threshold for attribution (unless the case is before a court), disagreement as to whether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reasonable but mistaken attribution renders a countermeasure (see below) unlawful, and the </w:t>
      </w:r>
    </w:p>
    <w:p>
      <w:pPr>
        <w:autoSpaceDN w:val="0"/>
        <w:autoSpaceDE w:val="0"/>
        <w:widowControl/>
        <w:spacing w:line="358" w:lineRule="exact" w:before="956" w:after="0"/>
        <w:ind w:left="0" w:right="1000" w:firstLine="0"/>
        <w:jc w:val="right"/>
      </w:pPr>
      <w:r/>
    </w:p>
    <w:p>
      <w:pPr>
        <w:autoSpaceDN w:val="0"/>
        <w:autoSpaceDE w:val="0"/>
        <w:widowControl/>
        <w:spacing w:line="160" w:lineRule="exact" w:before="290" w:after="0"/>
        <w:ind w:left="2736" w:right="2736" w:firstLine="0"/>
        <w:jc w:val="center"/>
      </w:pPr>
      <w:r/>
    </w:p>
    <w:p>
      <w:pPr>
        <w:sectPr>
          <w:pgSz w:w="10080" w:h="15200"/>
          <w:pgMar w:top="446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autoSpaceDE w:val="0"/>
        <w:widowControl/>
        <w:spacing w:line="240" w:lineRule="exact" w:before="16" w:after="0"/>
        <w:ind w:left="0" w:right="0" w:firstLine="0"/>
        <w:jc w:val="center"/>
      </w:pPr>
      <w:r/>
    </w:p>
    <w:p>
      <w:pPr>
        <w:autoSpaceDN w:val="0"/>
        <w:autoSpaceDE w:val="0"/>
        <w:widowControl/>
        <w:spacing w:line="280" w:lineRule="exact" w:before="248" w:after="0"/>
        <w:ind w:left="864" w:right="720" w:firstLine="0"/>
        <w:jc w:val="center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fact that international law does not require states to produce the evidence upon which they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base attribution. Nonetheless, only after an attribution determination has been made is it pos-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sible to identify the available response options. It is to those options that the discussion turns. </w:t>
      </w:r>
    </w:p>
    <w:p>
      <w:pPr>
        <w:autoSpaceDN w:val="0"/>
        <w:autoSpaceDE w:val="0"/>
        <w:widowControl/>
        <w:spacing w:line="292" w:lineRule="exact" w:before="84" w:after="0"/>
        <w:ind w:left="1080" w:right="0" w:firstLine="0"/>
        <w:jc w:val="left"/>
      </w:pPr>
      <w:r>
        <w:rPr>
          <w:rFonts w:ascii="CorporateAPro" w:hAnsi="CorporateAPro" w:eastAsia="CorporateAPro"/>
          <w:b/>
          <w:i/>
          <w:color w:val="221F1F"/>
          <w:sz w:val="22"/>
        </w:rPr>
        <w:t>Retorsion and Other Lawful Responses</w:t>
      </w:r>
    </w:p>
    <w:p>
      <w:pPr>
        <w:autoSpaceDN w:val="0"/>
        <w:autoSpaceDE w:val="0"/>
        <w:widowControl/>
        <w:spacing w:line="280" w:lineRule="exact" w:before="84" w:after="0"/>
        <w:ind w:left="900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The most common responses to hostile cyber operations are “acts of retorsion”—unilateral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actions that do not violate international law per se, although they are “unfriendly” from the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perspective of the entity against which they are directed.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[32]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Examples include economic sanc-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tions, canceling state visits, expelling diplomats, or even severing diplomatic relations. By way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of illustration, when Russia targeted the US with cyber election interference in 2016, includ-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ing through the use of proxies like the Internet Research Agency, the Obama Administration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responded by imposing sanctions, expelling “diplomatic” personnel, and closing Russian facil-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ities in the US.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[33]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Similarly, the Biden administration has elected to reply to the 2020 Russian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election-related cyber operations and the SolarWinds campaign utilizing retorsion.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[34]</w:t>
      </w:r>
    </w:p>
    <w:p>
      <w:pPr>
        <w:autoSpaceDN w:val="0"/>
        <w:autoSpaceDE w:val="0"/>
        <w:widowControl/>
        <w:spacing w:line="280" w:lineRule="exact" w:before="90" w:after="0"/>
        <w:ind w:left="900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>Retorsion options are an especially useful response to a hostile state or proxy cyber oper-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ation that either does not violate international law or is of an ambiguous legal character, as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with operations like SolarWinds.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[35]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Moreover, a state need not legally attribute a proxy’s op-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eration to another state before engaging in acts of retorsion against the proxy, its members,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or a state it suspects of involvement; it even would be lawful to sanction them based on mere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suspicion of involvement, assuming doing so is compliant with the state’s domestic law. Simply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put, acts of retorsion are always available response options because they are lawful measures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unconstrained by the international legal requirements that accompany more robust self-help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measures discussed below. Of course, a responsible member of the international community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should only engage in retorsion when reasonable in the circumstances and in good faith. </w:t>
      </w:r>
    </w:p>
    <w:p>
      <w:pPr>
        <w:autoSpaceDN w:val="0"/>
        <w:autoSpaceDE w:val="0"/>
        <w:widowControl/>
        <w:spacing w:line="280" w:lineRule="exact" w:before="90" w:after="0"/>
        <w:ind w:left="900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Economic sanctions are a prominent means of retorsion and a core element of US strategy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to deter Russia’s use of cyber proxies and other malicious behavior. The US generally relies on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Executive Order (EO) 13694 as amended by EO 13757, which was codified in the Countering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America’s Adversaries Through Sanctions Act (CAATSA), to sanction Russians and Russian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entities that have engaged in hostile cyber operations.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[36]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Section 224 of CAATSA expressly au-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thorizes sanctions against cyber proxy operations conducted on behalf of the Russian govern-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ment that undermine “cybersecurity against any person, including a democratic institution,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or government.”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[37]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Hundreds of proxy group members and Russian security and intelligence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services personnel have been sanctioned for having conducted cyber operations using these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authorities.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[38]</w:t>
      </w:r>
    </w:p>
    <w:p>
      <w:pPr>
        <w:autoSpaceDN w:val="0"/>
        <w:autoSpaceDE w:val="0"/>
        <w:widowControl/>
        <w:spacing w:line="280" w:lineRule="exact" w:before="90" w:after="0"/>
        <w:ind w:left="900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Cyber responses that do not cause effects that would violate international law also qualify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as acts of retorsion. For instance, a state targeted by a proxy’s cyber operations may undertake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cyber information (and even disinformation) campaigns,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[39]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cyber espionage, and other intel-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ligence and counterintelligence cyber operations against both a proxy or a state with some </w:t>
      </w:r>
    </w:p>
    <w:p>
      <w:pPr>
        <w:autoSpaceDN w:val="0"/>
        <w:autoSpaceDE w:val="0"/>
        <w:widowControl/>
        <w:spacing w:line="358" w:lineRule="exact" w:before="1232" w:after="0"/>
        <w:ind w:left="976" w:right="0" w:firstLine="0"/>
        <w:jc w:val="left"/>
      </w:pPr>
      <w:r/>
    </w:p>
    <w:p>
      <w:pPr>
        <w:autoSpaceDN w:val="0"/>
        <w:autoSpaceDE w:val="0"/>
        <w:widowControl/>
        <w:spacing w:line="160" w:lineRule="exact" w:before="294" w:after="0"/>
        <w:ind w:left="2736" w:right="2736" w:firstLine="0"/>
        <w:jc w:val="center"/>
      </w:pPr>
      <w:r/>
    </w:p>
    <w:p>
      <w:pPr>
        <w:sectPr>
          <w:pgSz w:w="10080" w:h="15200"/>
          <w:pgMar w:top="446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autoSpaceDE w:val="0"/>
        <w:widowControl/>
        <w:spacing w:line="240" w:lineRule="exact" w:before="16" w:after="0"/>
        <w:ind w:left="0" w:right="0" w:firstLine="0"/>
        <w:jc w:val="center"/>
      </w:pPr>
      <w:r/>
    </w:p>
    <w:p>
      <w:pPr>
        <w:autoSpaceDN w:val="0"/>
        <w:autoSpaceDE w:val="0"/>
        <w:widowControl/>
        <w:spacing w:line="280" w:lineRule="exact" w:before="248" w:after="0"/>
        <w:ind w:left="900" w:right="720" w:firstLine="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relationship to the hostile operations, so long as the cyber responses do not cross any legal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threshold, such as those described above, that would render them unlawful.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[40]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Or a targeted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state could establish access within hostile cyberinfrastructure without causing internationally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wrongful effects to signal its capability and willingness to respond to future hostile cyber oper-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ations.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[41]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The victim state could even block access by proxy groups, individuals, and specified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states to its cyberinfrastructure as an act of retorsion, for there is no international law right of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access to cyberinfrastructure on another state’s territory.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[42]</w:t>
      </w:r>
    </w:p>
    <w:p>
      <w:pPr>
        <w:autoSpaceDN w:val="0"/>
        <w:autoSpaceDE w:val="0"/>
        <w:widowControl/>
        <w:spacing w:line="280" w:lineRule="exact" w:before="90" w:after="0"/>
        <w:ind w:left="900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Other lawful means of responding to proxy cyber operations are available. For instance, the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United States is increasingly resorting to judicial action by indicting members of proxy groups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for domestic criminal offenses, as in the case of the Yahoo data breach mentioned above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 xml:space="preserve">[43]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and a 2019 criminal indictment of two members of Evil Corp, a Russian-based cybercriminal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organization accused of supporting the Russian government’s hostile cyber efforts.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[44]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The tar-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geted state can also seek a UN Charter, Chapter VII, Security Council resolution condemning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proxy operations and authorizing interference, disruption, or even destruction of a proxy’s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cyber capabilities, as well as sanctions or other action against a state supporting the group.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 xml:space="preserve">[45]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Of course, doing so in the case of Russia or China would be impossible in light of their veto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power as one of the permanent five (P5) members of the Security Council. Judicial action in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the International Court of Justice against a state to which a proxy’s operations are attributable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is a theoretical possibility, although highly unlikely because of the jurisdictional hurdles of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bringing another state before that court.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[46]</w:t>
      </w:r>
    </w:p>
    <w:p>
      <w:pPr>
        <w:autoSpaceDN w:val="0"/>
        <w:autoSpaceDE w:val="0"/>
        <w:widowControl/>
        <w:spacing w:line="280" w:lineRule="exact" w:before="90" w:after="0"/>
        <w:ind w:left="900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States are inclined to resort to the retorsion option or judicial action to respond to hostile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proxy cyber operations, not only because they are a lawful option when reacting to hostile cy-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ber operations that do not violate international law, but they also minimize political and legal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risk in situations where there is uncertainty as to whether the proxy’s cyber operation is un-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lawful. Moreover, factual evidence of attribution may be difficult to acquire, or the legal thresh-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old for attribution may not have been reached in a case where a foreign state’s involvement is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suspected. Conducting acts of retorsion against that state is nevertheless permissible, while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most other self-help measures would not be. Such measures may prove inadequate, however, in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limiting or deterring the use of cyber proxies, for they generally impose limited repercussions,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thereby necessitating an understanding of other measures of self-help.</w:t>
      </w:r>
    </w:p>
    <w:p>
      <w:pPr>
        <w:autoSpaceDN w:val="0"/>
        <w:autoSpaceDE w:val="0"/>
        <w:widowControl/>
        <w:spacing w:line="292" w:lineRule="exact" w:before="84" w:after="0"/>
        <w:ind w:left="1080" w:right="0" w:firstLine="0"/>
        <w:jc w:val="left"/>
      </w:pPr>
      <w:r>
        <w:rPr>
          <w:rFonts w:ascii="CorporateAPro" w:hAnsi="CorporateAPro" w:eastAsia="CorporateAPro"/>
          <w:b/>
          <w:i/>
          <w:color w:val="221F1F"/>
          <w:sz w:val="22"/>
        </w:rPr>
        <w:t>Countermeasures</w:t>
      </w:r>
    </w:p>
    <w:p>
      <w:pPr>
        <w:autoSpaceDN w:val="0"/>
        <w:autoSpaceDE w:val="0"/>
        <w:widowControl/>
        <w:spacing w:line="280" w:lineRule="exact" w:before="84" w:after="0"/>
        <w:ind w:left="900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>In certain circumstances, a state might need to take more robust measures—such as counter-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measures, actions undertaken out of necessity, or self-defense—in the face of proxy cyber oper-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ations. Each of these responses would otherwise violate international law, but international law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treats them as “circumstances precluding wrongfulness.”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[47]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In other words, responses against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the responsible state in the underlying circumstances are justified or excused under interna-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tional law even though they are technically unlawful acts, so long as strict legal criteria for each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are met, as we will discuss below. </w:t>
      </w:r>
    </w:p>
    <w:p>
      <w:pPr>
        <w:autoSpaceDN w:val="0"/>
        <w:autoSpaceDE w:val="0"/>
        <w:widowControl/>
        <w:spacing w:line="358" w:lineRule="exact" w:before="1046" w:after="0"/>
        <w:ind w:left="0" w:right="1000" w:firstLine="0"/>
        <w:jc w:val="right"/>
      </w:pPr>
      <w:r/>
    </w:p>
    <w:p>
      <w:pPr>
        <w:autoSpaceDN w:val="0"/>
        <w:autoSpaceDE w:val="0"/>
        <w:widowControl/>
        <w:spacing w:line="160" w:lineRule="exact" w:before="290" w:after="0"/>
        <w:ind w:left="2736" w:right="2736" w:firstLine="0"/>
        <w:jc w:val="center"/>
      </w:pPr>
      <w:r/>
    </w:p>
    <w:p>
      <w:pPr>
        <w:sectPr>
          <w:pgSz w:w="10080" w:h="15200"/>
          <w:pgMar w:top="446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autoSpaceDE w:val="0"/>
        <w:widowControl/>
        <w:spacing w:line="240" w:lineRule="exact" w:before="16" w:after="0"/>
        <w:ind w:left="0" w:right="0" w:firstLine="0"/>
        <w:jc w:val="center"/>
      </w:pPr>
      <w:r/>
    </w:p>
    <w:p>
      <w:pPr>
        <w:autoSpaceDN w:val="0"/>
        <w:autoSpaceDE w:val="0"/>
        <w:widowControl/>
        <w:spacing w:line="280" w:lineRule="exact" w:before="248" w:after="0"/>
        <w:ind w:left="900" w:right="844" w:firstLine="180"/>
        <w:jc w:val="both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Countermeasures are otherwise unlawful actions that international law nevertheless allows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an injured state to take to compel a responsible state to stop its unlawful conduct or to provide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reparations (including compensation) for any harm caused.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[48]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For example, an injured state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may respond to the proxy’s unlawful cyber operation with its own cyber operation that violates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the sovereignty of a state responsible for a proxy’s operations. The operation could even take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the form of a violation of the responsible state’s sovereignty by conducting operations against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the proxy’s cyberinfrastructure on the responsible state’s territory.</w:t>
      </w:r>
    </w:p>
    <w:p>
      <w:pPr>
        <w:autoSpaceDN w:val="0"/>
        <w:autoSpaceDE w:val="0"/>
        <w:widowControl/>
        <w:spacing w:line="280" w:lineRule="exact" w:before="90" w:after="0"/>
        <w:ind w:left="900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>Countermeasures are by definition violations of international law, they are subject to strin-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gent limitations. First, they are only available against hostile cyber operations that are inter-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nationally wrongful acts. In the proxy context, that means the proxy’s hostile cyber operation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must breach an international law rule and be legally attributable to a state before countermea-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sures are on the table. In the event of misattribution, the prevailing view is that the purported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countermeasure is itself unlawful because there was no “circumstance” to “preclude its wrong-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fulness.”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[49]</w:t>
      </w:r>
    </w:p>
    <w:p>
      <w:pPr>
        <w:autoSpaceDN w:val="0"/>
        <w:autoSpaceDE w:val="0"/>
        <w:widowControl/>
        <w:spacing w:line="280" w:lineRule="exact" w:before="90" w:after="0"/>
        <w:ind w:left="900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>Additionally, a desire to retaliate against the state to which the proxy’s operations are attribut-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able cannot be the predominant motivation for countermeasures; the primary purpose instead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must be to directly terminate the hostile cyber operations or influence the responsible state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to end the proxy’s cyber operations (or provide reparations). This being so, cyber responses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unlikely to end the proxy’s hostile operations or cause the responsible state to offer reparations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do not qualify as countermeasures; they are unlawful. Further, since countermeasures are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meant to return a situation to one of compliance with international law, they are only available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while the responsible state’s unlawful cyber operation (including by a proxy), is underway. For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the same reason, a state may not take them once that operation or a series of related unlawful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operations (a cyber campaign) are complete.</w:t>
      </w:r>
    </w:p>
    <w:p>
      <w:pPr>
        <w:autoSpaceDN w:val="0"/>
        <w:autoSpaceDE w:val="0"/>
        <w:widowControl/>
        <w:spacing w:line="280" w:lineRule="exact" w:before="90" w:after="0"/>
        <w:ind w:left="900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>Countermeasures also must be proportionate in the sense that they have to be “commensu-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rate with the injury suffered, taking into account the gravity of the internationally wrongful act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and the rights in question.”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[50]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In other words, the pain inflicted on the responsible state by the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state taking the countermeasure must be roughly equal in scope and severity to that suffered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as a result of the former’s operations or those of its proxy. Further, it is now well accepted that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countermeasures may not involve the use of force; only non-forcible measures are permitted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as countermeasures.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[51]</w:t>
      </w:r>
    </w:p>
    <w:p>
      <w:pPr>
        <w:autoSpaceDN w:val="0"/>
        <w:autoSpaceDE w:val="0"/>
        <w:widowControl/>
        <w:spacing w:line="280" w:lineRule="exact" w:before="90" w:after="0"/>
        <w:ind w:left="900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Several issues surrounding countermeasures remain unsettled in law. For instance, there is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no consensus about whether an injured state has a legal obligation to attempt lesser measures,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such as cyber retorsion or countermeasures with less severe consequences, before employing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countermeasures. Most of the </w:t>
      </w:r>
      <w:r>
        <w:rPr>
          <w:rFonts w:ascii="CorporateAPro" w:hAnsi="CorporateAPro" w:eastAsia="CorporateAPro"/>
          <w:b w:val="0"/>
          <w:i/>
          <w:color w:val="221F1F"/>
          <w:sz w:val="22"/>
        </w:rPr>
        <w:t xml:space="preserve">Tallinn Manual 2.0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experts believed that no such obligation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exists, but it remains an open issue.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[52]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There is also a degree of uncertainty about when an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injured state must notify the responsible state that it intends to take countermeasures. Gener-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ally, notification must precede the taking of countermeasures unless they are urgent.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[53]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In the </w:t>
      </w:r>
    </w:p>
    <w:p>
      <w:pPr>
        <w:autoSpaceDN w:val="0"/>
        <w:autoSpaceDE w:val="0"/>
        <w:widowControl/>
        <w:spacing w:line="358" w:lineRule="exact" w:before="1042" w:after="0"/>
        <w:ind w:left="976" w:right="0" w:firstLine="0"/>
        <w:jc w:val="left"/>
      </w:pPr>
      <w:r/>
    </w:p>
    <w:p>
      <w:pPr>
        <w:autoSpaceDN w:val="0"/>
        <w:autoSpaceDE w:val="0"/>
        <w:widowControl/>
        <w:spacing w:line="160" w:lineRule="exact" w:before="294" w:after="0"/>
        <w:ind w:left="2736" w:right="2736" w:firstLine="0"/>
        <w:jc w:val="center"/>
      </w:pPr>
      <w:r/>
    </w:p>
    <w:p>
      <w:pPr>
        <w:sectPr>
          <w:pgSz w:w="10080" w:h="15200"/>
          <w:pgMar w:top="446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autoSpaceDE w:val="0"/>
        <w:widowControl/>
        <w:spacing w:line="240" w:lineRule="exact" w:before="16" w:after="0"/>
        <w:ind w:left="0" w:right="0" w:firstLine="0"/>
        <w:jc w:val="center"/>
      </w:pPr>
      <w:r/>
    </w:p>
    <w:p>
      <w:pPr>
        <w:autoSpaceDN w:val="0"/>
        <w:autoSpaceDE w:val="0"/>
        <w:widowControl/>
        <w:spacing w:line="280" w:lineRule="exact" w:before="248" w:after="0"/>
        <w:ind w:left="892" w:right="720" w:firstLine="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cyber context, states have been interpreting this exception very broadly because of the speed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with which cyber operations unfold and the fact that notice may provide an adversary critical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information regarding the injured state’s cyber capabilities.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[54]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Yet, in fairness, advance notice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makes some sense in the cyber proxy context, where there may be intentional efforts to spoof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or mask origin and affiliation with a state. Notice would allow the state against which counter-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measures are to be taken to offer evidence that it is not responsible for the proxy’s operations,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perhaps even by cooperating with the targeted state. The best view, and one balancing the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interests of states, is that notice should not be required if infeasible in the circumstances.</w:t>
      </w:r>
    </w:p>
    <w:p>
      <w:pPr>
        <w:autoSpaceDN w:val="0"/>
        <w:autoSpaceDE w:val="0"/>
        <w:widowControl/>
        <w:spacing w:line="280" w:lineRule="exact" w:before="90" w:after="0"/>
        <w:ind w:left="892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The most significant unsettled issue is whether collective countermeasures are permissible,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much like the UN Charter and customary law permit collective defense in response to an armed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attack.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[55]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The question is whether a state targeted by a proxy’s unlawful cyber operation that is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attributable to another state may look to third states for help in conducting countermeasures,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either by assisting or by engaging in countermeasures on behalf of the injured state. States are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split (or non-committal) on the issue. For instance, Estonia takes the position, understandably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in light of its vulnerability to hostile cyber operations by Russia and its proxies, that it may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seek help from other states in taking countermeasures; NATO-ally France takes the opposite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position.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[56]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As a matter of law, the better position is that collective countermeasures are per-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missible, but the paucity of state views on the matter means it remains an open question.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[57]</w:t>
      </w:r>
    </w:p>
    <w:p>
      <w:pPr>
        <w:autoSpaceDN w:val="0"/>
        <w:autoSpaceDE w:val="0"/>
        <w:widowControl/>
        <w:spacing w:line="280" w:lineRule="exact" w:before="90" w:after="0"/>
        <w:ind w:left="892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Several illustrations are helpful to explain the taking of countermeasures. For cyber proxy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operations originating from within another state’s territory, countermeasures could consist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of “hack backs” or other cyber responses targeting the source of the initial hostile operation.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Suppose a hacker group located in and acting on state A’s instructions is the source of a hos-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tile cyber operation causing loss of functionality of private cyberinfrastructure in state B (a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violation of its sovereignty). In that case, the latter may target the private hacker group’s cy-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berinfrastructure in state A to shut it down. The operation would otherwise violate that state’s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sovereignty, but its wrongfulness is precluded by its status as a proportionate countermeasure. </w:t>
      </w:r>
    </w:p>
    <w:p>
      <w:pPr>
        <w:autoSpaceDN w:val="0"/>
        <w:autoSpaceDE w:val="0"/>
        <w:widowControl/>
        <w:spacing w:line="280" w:lineRule="exact" w:before="90" w:after="0"/>
        <w:ind w:left="892" w:right="852" w:firstLine="180"/>
        <w:jc w:val="both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However, countermeasures need not be directed at the source of the initial cyber operation.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They may proportionately target any cyberinfrastructure located within the state to which the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proxy’s operations are attributable, whether government or privately-owned, to influence the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responsible state to compel its proxy to desist (or to secure reparations from that state). The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response need not even violate the same legal obligation. For instance, a proxy’s attributable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cyber operation against private cyberinfrastructure that violates another state’s sovereignty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could be responded to through cyber operations against the responsible state’s satellites in a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manner that contravenes space law. Similarly, non-cyber countermeasures (like the denial of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landing rights provided for in a treaty or the closure of the territorial sea to “innocent passage”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by the state’s vessels) are permissible in the face of unlawful cyber operations (and vice-versa).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[58]</w:t>
      </w:r>
    </w:p>
    <w:p>
      <w:pPr>
        <w:autoSpaceDN w:val="0"/>
        <w:tabs>
          <w:tab w:pos="1072" w:val="left"/>
        </w:tabs>
        <w:autoSpaceDE w:val="0"/>
        <w:widowControl/>
        <w:spacing w:line="280" w:lineRule="exact" w:before="90" w:after="0"/>
        <w:ind w:left="892" w:right="720" w:firstLine="0"/>
        <w:jc w:val="left"/>
      </w:pPr>
      <w:r>
        <w:tab/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Cyber proxies do not always operate from within the territory of the state to which their oper-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ations are attributable. When proxies operate from a third state, the injured state may employ </w:t>
      </w:r>
    </w:p>
    <w:p>
      <w:pPr>
        <w:autoSpaceDN w:val="0"/>
        <w:autoSpaceDE w:val="0"/>
        <w:widowControl/>
        <w:spacing w:line="358" w:lineRule="exact" w:before="1046" w:after="0"/>
        <w:ind w:left="0" w:right="1000" w:firstLine="0"/>
        <w:jc w:val="right"/>
      </w:pPr>
      <w:r/>
    </w:p>
    <w:p>
      <w:pPr>
        <w:autoSpaceDN w:val="0"/>
        <w:autoSpaceDE w:val="0"/>
        <w:widowControl/>
        <w:spacing w:line="160" w:lineRule="exact" w:before="290" w:after="0"/>
        <w:ind w:left="2736" w:right="2736" w:firstLine="0"/>
        <w:jc w:val="center"/>
      </w:pPr>
      <w:r/>
    </w:p>
    <w:p>
      <w:pPr>
        <w:sectPr>
          <w:pgSz w:w="10080" w:h="15200"/>
          <w:pgMar w:top="446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autoSpaceDE w:val="0"/>
        <w:widowControl/>
        <w:spacing w:line="240" w:lineRule="exact" w:before="16" w:after="0"/>
        <w:ind w:left="0" w:right="0" w:firstLine="0"/>
        <w:jc w:val="center"/>
      </w:pPr>
      <w:r/>
    </w:p>
    <w:p>
      <w:pPr>
        <w:autoSpaceDN w:val="0"/>
        <w:autoSpaceDE w:val="0"/>
        <w:widowControl/>
        <w:spacing w:line="280" w:lineRule="exact" w:before="248" w:after="0"/>
        <w:ind w:left="900" w:right="844" w:firstLine="0"/>
        <w:jc w:val="both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countermeasures directed at targets located in the responsible state’s territory. A targeted state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might, however, prefer to take action against the proxy’s operations in the third state. The legal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problem is that countermeasures may only be directed against a state that has breached a legal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obligation owed to the state taking the countermeasures. Since countermeasures are otherwise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unlawful actions, they would seem to be unlawful vis-à-vis the territorial state. The remedy to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this situation can sometimes be found in the rule of due diligence.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[59]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States either disagree on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the existence of such a rule or have not opined on its existence.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[60]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Nevertheless, the weight of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opinion is that such a rule exists and is of particular relevance in the cyber context.</w:t>
      </w:r>
    </w:p>
    <w:p>
      <w:pPr>
        <w:autoSpaceDN w:val="0"/>
        <w:autoSpaceDE w:val="0"/>
        <w:widowControl/>
        <w:spacing w:line="280" w:lineRule="exact" w:before="90" w:after="0"/>
        <w:ind w:left="900" w:right="844" w:firstLine="180"/>
        <w:jc w:val="both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By it, states must put an end to ongoing cyber operations either mounted from or conducted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remotely through cyberinfrastructure located on their territory whenever it is feasible for them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to do so in circumstances where the operations are causing “serious adverse consequences”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for a legal right of another state (such as sovereignty). This obligation does not require that the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hostile cyber operation be legally attributable to a state, although it may be. And this is crucial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because if a state uses a proxy from its own or another state’s territory, but attribution cannot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be established or the relationship does not reach the legal threshold for attribution, the due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diligence rule may open the door to countermeasures. </w:t>
      </w:r>
    </w:p>
    <w:p>
      <w:pPr>
        <w:autoSpaceDN w:val="0"/>
        <w:autoSpaceDE w:val="0"/>
        <w:widowControl/>
        <w:spacing w:line="280" w:lineRule="exact" w:before="90" w:after="0"/>
        <w:ind w:left="900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To illustrate, assume cyber proxies are operating from one (territorial) state to intervene in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the target state’s elections unlawfully. The territorial state knows of the operations and can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stop them. Yet, it fails to do so because it sympathizes with the proxy group, is allied with the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responsible state, or for any other reason. The territorial state is in breach of its due diligence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obligation. The injured state may take countermeasures against the territorial state to convince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it to comply with its due diligence obligation to end the proxy’s operations or even conduct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operations against the proxy itself. In such a situation, the injured state’s otherwise unlawful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action (perhaps a breach of sovereignty) would be precluded because it qualifies as a counter-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measure against the territorial state’s non-compliance with the rule of due diligence. </w:t>
      </w:r>
    </w:p>
    <w:p>
      <w:pPr>
        <w:autoSpaceDN w:val="0"/>
        <w:autoSpaceDE w:val="0"/>
        <w:widowControl/>
        <w:spacing w:line="280" w:lineRule="exact" w:before="90" w:after="0"/>
        <w:ind w:left="900" w:right="844" w:firstLine="180"/>
        <w:jc w:val="both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 significant issue here is how to interpret the requirement that the taking of action be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feasible before the due diligence obligation is breached. In this regard, the territorial state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need only look to its own capabilities, such as technical solutions, classic law enforcement,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instructing an Internet Service Provider to terminate service to the proxy, or even retaining the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services of a private company that can terminate the proxy’s operations. However, it need not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accept assistance from the injured or other states; feasibility is assessed based on the state's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capabilities alone.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[61]</w:t>
      </w:r>
    </w:p>
    <w:p>
      <w:pPr>
        <w:autoSpaceDN w:val="0"/>
        <w:autoSpaceDE w:val="0"/>
        <w:widowControl/>
        <w:spacing w:line="292" w:lineRule="exact" w:before="84" w:after="0"/>
        <w:ind w:left="1080" w:right="0" w:firstLine="0"/>
        <w:jc w:val="left"/>
      </w:pPr>
      <w:r>
        <w:rPr>
          <w:rFonts w:ascii="CorporateAPro" w:hAnsi="CorporateAPro" w:eastAsia="CorporateAPro"/>
          <w:b/>
          <w:i/>
          <w:color w:val="221F1F"/>
          <w:sz w:val="22"/>
        </w:rPr>
        <w:t>Actions Taken Out of Necessity</w:t>
      </w:r>
    </w:p>
    <w:p>
      <w:pPr>
        <w:autoSpaceDN w:val="0"/>
        <w:autoSpaceDE w:val="0"/>
        <w:widowControl/>
        <w:spacing w:line="280" w:lineRule="exact" w:before="84" w:after="0"/>
        <w:ind w:left="900" w:right="844" w:firstLine="180"/>
        <w:jc w:val="both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Targeted states may not have the option of employing countermeasures because the proxy’s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cyber operation does not violate international law, attribution cannot be established, or it is not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feasible for the territorial state to terminate the proxy’s operation and is therefore not in breach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of any due diligence obligation. In these situations, the targeted state may take action based on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 plea of necessity. </w:t>
      </w:r>
    </w:p>
    <w:p>
      <w:pPr>
        <w:autoSpaceDN w:val="0"/>
        <w:autoSpaceDE w:val="0"/>
        <w:widowControl/>
        <w:spacing w:line="358" w:lineRule="exact" w:before="952" w:after="0"/>
        <w:ind w:left="976" w:right="0" w:firstLine="0"/>
        <w:jc w:val="left"/>
      </w:pPr>
      <w:r/>
    </w:p>
    <w:p>
      <w:pPr>
        <w:autoSpaceDN w:val="0"/>
        <w:autoSpaceDE w:val="0"/>
        <w:widowControl/>
        <w:spacing w:line="160" w:lineRule="exact" w:before="294" w:after="0"/>
        <w:ind w:left="2736" w:right="2736" w:firstLine="0"/>
        <w:jc w:val="center"/>
      </w:pPr>
      <w:r/>
    </w:p>
    <w:p>
      <w:pPr>
        <w:sectPr>
          <w:pgSz w:w="10080" w:h="15200"/>
          <w:pgMar w:top="446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autoSpaceDE w:val="0"/>
        <w:widowControl/>
        <w:spacing w:line="240" w:lineRule="exact" w:before="16" w:after="0"/>
        <w:ind w:left="0" w:right="0" w:firstLine="0"/>
        <w:jc w:val="center"/>
      </w:pPr>
      <w:r/>
    </w:p>
    <w:p>
      <w:pPr>
        <w:autoSpaceDN w:val="0"/>
        <w:autoSpaceDE w:val="0"/>
        <w:widowControl/>
        <w:spacing w:line="280" w:lineRule="exact" w:before="248" w:after="0"/>
        <w:ind w:left="900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Plea of necessity actions are similar to countermeasures in that a state targeted by certain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hostile cyber operations is permitted to respond in a manner that would otherwise violate in-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ternational law; it is a “circumstance precluding the wrongfulness” of the response. States may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do so in exceptional situations where cyber operations, including those mounted by proxies,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create a “grave and imminent peril” to an “essential interest” of the targeted state, and the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proposed response is the sole means of addressing the situation.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[62]</w:t>
      </w:r>
    </w:p>
    <w:p>
      <w:pPr>
        <w:autoSpaceDN w:val="0"/>
        <w:autoSpaceDE w:val="0"/>
        <w:widowControl/>
        <w:spacing w:line="280" w:lineRule="exact" w:before="90" w:after="0"/>
        <w:ind w:left="900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Unlike countermeasures, the hostile cyber operation need not constitute an internationally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wrongful act. This has two significant consequences. First, a hostile cyber operation does not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have to breach any particular obligation of a state. Thus, uncertainty about whether a hostile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cyber operation breaches an obligation such as respect for sovereignty or refraining from inter-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vention, or certainty that it does not, is no obstacle to acting based on necessity.</w:t>
      </w:r>
    </w:p>
    <w:p>
      <w:pPr>
        <w:autoSpaceDN w:val="0"/>
        <w:autoSpaceDE w:val="0"/>
        <w:widowControl/>
        <w:spacing w:line="280" w:lineRule="exact" w:before="90" w:after="0"/>
        <w:ind w:left="900" w:right="844" w:firstLine="180"/>
        <w:jc w:val="both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Second, in the proxy context, unlike in regards to countermeasures, it is unnecessary to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legally attribute the hostile cyber operation to a state before responding based on necessity.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Indeed, there is no requirement to attribute the cyber operation to any particular entity at all.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The sole requirement is a factual determination that the cyber operation, irrespective of who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might have launched it, gravely threatens an essential interest of the targeted state, and the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proposed response is the only feasible means to prevent or end the intrusion. </w:t>
      </w:r>
    </w:p>
    <w:p>
      <w:pPr>
        <w:autoSpaceDN w:val="0"/>
        <w:autoSpaceDE w:val="0"/>
        <w:widowControl/>
        <w:spacing w:line="280" w:lineRule="exact" w:before="90" w:after="0"/>
        <w:ind w:left="900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For instance, consider a proxy cyber operation targeting essential cyberinfrastructure, such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as the national financial system, launched from a state to which attribution is suspected but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cannot be established. Furthermore, the state might not be in breach of its due diligence ob-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ligation because it is uncertain whether it has the ability to put an end to the operation. The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targeted state’s proposed response would otherwise violate, at minimum, the territorial state’s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sovereignty. Yet, in this situation, the unlawfulness of that response would be precluded so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long as the narrow criteria for the plea of necessity are satisfied.</w:t>
      </w:r>
    </w:p>
    <w:p>
      <w:pPr>
        <w:autoSpaceDN w:val="0"/>
        <w:autoSpaceDE w:val="0"/>
        <w:widowControl/>
        <w:spacing w:line="280" w:lineRule="exact" w:before="90" w:after="0"/>
        <w:ind w:left="900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>The hostile cyber operation must be grave and imminent before the targeted state may re-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spond. “Grave” denotes a threatened or ongoing hostile operation with consequences that are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exceptionally severe, detrimental, or have an otherwise acute impact on an essential interest of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the state. A proxy’s operation that targets an essential interest with only a limited effect would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fall short of this standard. “Imminent” indicates that a targeted state is allowed to respond an-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ticipatorily. Imminence is not to be understood in terms of time. Rather, a threat is imminent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where failure to respond would deprive the state of the opportunity to prevent or stop the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proxy’s hostile cyber operation effectively.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[63]</w:t>
      </w:r>
    </w:p>
    <w:p>
      <w:pPr>
        <w:autoSpaceDN w:val="0"/>
        <w:autoSpaceDE w:val="0"/>
        <w:widowControl/>
        <w:spacing w:line="280" w:lineRule="exact" w:before="90" w:after="0"/>
        <w:ind w:left="900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In addition, an essential interest must be affected. Unfortunately, international law does not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define the term. The </w:t>
      </w:r>
      <w:r>
        <w:rPr>
          <w:rFonts w:ascii="CorporateAPro" w:hAnsi="CorporateAPro" w:eastAsia="CorporateAPro"/>
          <w:b w:val="0"/>
          <w:i/>
          <w:color w:val="221F1F"/>
          <w:sz w:val="22"/>
        </w:rPr>
        <w:t>Tallinn Manual 2.0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experts describe it as an interest “that is of a funda-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mental and great importance to the State concerned.”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[64]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Certain areas of activity are clearly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essential to all states. Paradigmatic examples include national economic well-being, public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health and safety, communications, power generation, and national security. Notably, a state’s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designation of cyberinfrastructure as critical does not definitively mean it qualifies as essential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in international law terms.</w:t>
      </w:r>
    </w:p>
    <w:p>
      <w:pPr>
        <w:autoSpaceDN w:val="0"/>
        <w:autoSpaceDE w:val="0"/>
        <w:widowControl/>
        <w:spacing w:line="358" w:lineRule="exact" w:before="676" w:after="0"/>
        <w:ind w:left="0" w:right="1000" w:firstLine="0"/>
        <w:jc w:val="right"/>
      </w:pPr>
      <w:r/>
    </w:p>
    <w:p>
      <w:pPr>
        <w:autoSpaceDN w:val="0"/>
        <w:autoSpaceDE w:val="0"/>
        <w:widowControl/>
        <w:spacing w:line="160" w:lineRule="exact" w:before="290" w:after="0"/>
        <w:ind w:left="2736" w:right="2736" w:firstLine="0"/>
        <w:jc w:val="center"/>
      </w:pPr>
      <w:r/>
    </w:p>
    <w:p>
      <w:pPr>
        <w:sectPr>
          <w:pgSz w:w="10080" w:h="15200"/>
          <w:pgMar w:top="446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autoSpaceDE w:val="0"/>
        <w:widowControl/>
        <w:spacing w:line="240" w:lineRule="exact" w:before="16" w:after="0"/>
        <w:ind w:left="0" w:right="0" w:firstLine="0"/>
        <w:jc w:val="center"/>
      </w:pPr>
      <w:r/>
    </w:p>
    <w:p>
      <w:pPr>
        <w:autoSpaceDN w:val="0"/>
        <w:autoSpaceDE w:val="0"/>
        <w:widowControl/>
        <w:spacing w:line="280" w:lineRule="exact" w:before="248" w:after="0"/>
        <w:ind w:left="900" w:right="844" w:firstLine="180"/>
        <w:jc w:val="both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Moreover, what is essential is a contextual determination. For instance, in all countries, the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economic health of the nation is essential. But while tourism drives the nation’s economic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well-being for some countries, in others it is economically incidental. Accordingly, proxy cyber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operations targeting the tourism industry in the former countries might qualify as directed at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an essential interest, but not in the latter ones. </w:t>
      </w:r>
    </w:p>
    <w:p>
      <w:pPr>
        <w:autoSpaceDN w:val="0"/>
        <w:autoSpaceDE w:val="0"/>
        <w:widowControl/>
        <w:spacing w:line="280" w:lineRule="exact" w:before="90" w:after="0"/>
        <w:ind w:left="900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 proxy group targeting an essential interest is not enough to warrant otherwise unlawful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responses; the additional criteria must be satisfied. Key among these is that the otherwise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unlawful operation is the only feasible course of action for putting an end to the grave and im-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minent peril. If lesser response measures such as acts of retorsion or switching to a secondary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or backup system, can safeguard the interest, a targeted state may not act out of necessity.</w:t>
      </w:r>
    </w:p>
    <w:p>
      <w:pPr>
        <w:autoSpaceDN w:val="0"/>
        <w:autoSpaceDE w:val="0"/>
        <w:widowControl/>
        <w:spacing w:line="280" w:lineRule="exact" w:before="90" w:after="0"/>
        <w:ind w:left="900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 state responding in a situation of necessity must be cautious when its response could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cause effects on the territory of a state or states from which the proxy’s cyber operations either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do not originate or to which they cannot be attributed in law. Given the complex and intercon-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nective nature of cyberinfrastructure, these situations present themselves with some frequen-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cy. A limiting factor in this regard is that a targeted state must assess whether its response will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seriously impair the essential interests of other states.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[65]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If so, it may not act out of necessity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regardless of the magnitude of the harm it is enduring. </w:t>
      </w:r>
    </w:p>
    <w:p>
      <w:pPr>
        <w:autoSpaceDN w:val="0"/>
        <w:autoSpaceDE w:val="0"/>
        <w:widowControl/>
        <w:spacing w:line="292" w:lineRule="exact" w:before="84" w:after="0"/>
        <w:ind w:left="1080" w:right="0" w:firstLine="0"/>
        <w:jc w:val="left"/>
      </w:pPr>
      <w:r>
        <w:rPr>
          <w:rFonts w:ascii="CorporateAPro" w:hAnsi="CorporateAPro" w:eastAsia="CorporateAPro"/>
          <w:b/>
          <w:i/>
          <w:color w:val="221F1F"/>
          <w:sz w:val="22"/>
        </w:rPr>
        <w:t>Self-Defense</w:t>
      </w:r>
    </w:p>
    <w:p>
      <w:pPr>
        <w:autoSpaceDN w:val="0"/>
        <w:autoSpaceDE w:val="0"/>
        <w:widowControl/>
        <w:spacing w:line="280" w:lineRule="exact" w:before="84" w:after="0"/>
        <w:ind w:left="900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In extreme circumstances, a state may need to respond with use of force level measures to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end proxy cyber operations. As noted, countermeasures may not involve the use of force,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 xml:space="preserve">[66]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while whether the plea of necessity allows for a force level response remains unsettled.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 xml:space="preserve">[67]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state in this situation has three options—consent from the state into which the operations are to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be conducted, a UN Security Council resolution authorizing the action, or self-defense. Consent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or adoption of a Security Council resolution is unlikely in the case of Russian or Chinese-linked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proxy cyber operations, as they would not approve of using cyber force on their territory, and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they could use their status as permanent members of the Security Council to veto any reso-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lution authorizing responses at the use of force level. As a consequence, some proxy cyber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operations may only be responded to on the basis of the right to self-defense.</w:t>
      </w:r>
    </w:p>
    <w:p>
      <w:pPr>
        <w:autoSpaceDN w:val="0"/>
        <w:autoSpaceDE w:val="0"/>
        <w:widowControl/>
        <w:spacing w:line="280" w:lineRule="exact" w:before="90" w:after="0"/>
        <w:ind w:left="900" w:right="844" w:firstLine="180"/>
        <w:jc w:val="both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Article 51 of the UN Charter, which reflects customary international law, provides “[n]othing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in the present Charter shall impair the inherent right of individual or collective self-defence if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an armed attack occurs against a Member of the United Nations, until the Security Council has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taken measures necessary to maintain international peace and security.” That states may use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force in self-defense against a cyber armed attack is self-evident. The question is when and how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 cyber operation qualifies as an armed attack against which force, whether cyber or kinetic,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may be used.</w:t>
      </w:r>
    </w:p>
    <w:p>
      <w:pPr>
        <w:autoSpaceDN w:val="0"/>
        <w:autoSpaceDE w:val="0"/>
        <w:widowControl/>
        <w:spacing w:line="280" w:lineRule="exact" w:before="90" w:after="0"/>
        <w:ind w:left="900" w:right="844" w:firstLine="180"/>
        <w:jc w:val="both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States agree that cyber operations that cause significant physical damage, destruction, death,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or injury are armed attacks.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[68]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Whether those causing a lesser degree of damage or injury, or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non-destructive or injurious harm, may be characterized as armed attacks remains an open </w:t>
      </w:r>
    </w:p>
    <w:p>
      <w:pPr>
        <w:autoSpaceDN w:val="0"/>
        <w:autoSpaceDE w:val="0"/>
        <w:widowControl/>
        <w:spacing w:line="358" w:lineRule="exact" w:before="862" w:after="0"/>
        <w:ind w:left="976" w:right="0" w:firstLine="0"/>
        <w:jc w:val="left"/>
      </w:pPr>
      <w:r/>
    </w:p>
    <w:p>
      <w:pPr>
        <w:autoSpaceDN w:val="0"/>
        <w:autoSpaceDE w:val="0"/>
        <w:widowControl/>
        <w:spacing w:line="160" w:lineRule="exact" w:before="294" w:after="0"/>
        <w:ind w:left="2736" w:right="2736" w:firstLine="0"/>
        <w:jc w:val="center"/>
      </w:pPr>
      <w:r/>
    </w:p>
    <w:p>
      <w:pPr>
        <w:sectPr>
          <w:pgSz w:w="10080" w:h="15200"/>
          <w:pgMar w:top="446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autoSpaceDE w:val="0"/>
        <w:widowControl/>
        <w:spacing w:line="240" w:lineRule="exact" w:before="16" w:after="0"/>
        <w:ind w:left="0" w:right="0" w:firstLine="0"/>
        <w:jc w:val="center"/>
      </w:pPr>
      <w:r/>
    </w:p>
    <w:p>
      <w:pPr>
        <w:autoSpaceDN w:val="0"/>
        <w:autoSpaceDE w:val="0"/>
        <w:widowControl/>
        <w:spacing w:line="280" w:lineRule="exact" w:before="248" w:after="0"/>
        <w:ind w:left="900" w:right="844" w:firstLine="0"/>
        <w:jc w:val="both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debate, but France has gone as far as indicating that a non-destructive cyber operation against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its national economy might even qualify.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[69]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States that have spoken on the issue increasingly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agree with the International Court of Justice that whether a non-destructive cyber operation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is a use of force at the armed attack depends on its “scale and effects.”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[70]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Precisely where the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threshold lies, however, remains unresolved.</w:t>
      </w:r>
    </w:p>
    <w:p>
      <w:pPr>
        <w:autoSpaceDN w:val="0"/>
        <w:autoSpaceDE w:val="0"/>
        <w:widowControl/>
        <w:spacing w:line="280" w:lineRule="exact" w:before="90" w:after="0"/>
        <w:ind w:left="900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>The right to act in self-defense is subject to two requirements, necessity and proportionality.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 xml:space="preserve">[71]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Necessity in this context requires a situation in which the targeted state must use cyber or ki-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netic force to prevent the cyber armed attack, should it be imminent, or to defeat it if the attack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is underway. Proportionality limits the degree of force to be used to only that which is required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to defeat the imminent or ongoing armed attack effectively.</w:t>
      </w:r>
    </w:p>
    <w:p>
      <w:pPr>
        <w:autoSpaceDN w:val="0"/>
        <w:autoSpaceDE w:val="0"/>
        <w:widowControl/>
        <w:spacing w:line="280" w:lineRule="exact" w:before="90" w:after="0"/>
        <w:ind w:left="900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In the proxy context, two contentious issues loom large. The first is attribution. There is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consensus that the targeted state may use force in self-defense against a state or a proxy group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if the proxy’s cyber armed attack is conducted on behalf of that state or with its “substantial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involvement” in the operations.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[72]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The law is unsettled, however, for situations where a proxy’s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cyber operation is not attributable to a state either due to insufficient evidence that the opera-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tion is being mounted on behalf of the state or because a state’s involvement is not substantial.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 majority of the </w:t>
      </w:r>
      <w:r>
        <w:rPr>
          <w:rFonts w:ascii="CorporateAPro" w:hAnsi="CorporateAPro" w:eastAsia="CorporateAPro"/>
          <w:b w:val="0"/>
          <w:i/>
          <w:color w:val="221F1F"/>
          <w:sz w:val="22"/>
        </w:rPr>
        <w:t xml:space="preserve">Tallinn Manual 2.0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experts and some states, including the United States,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support the view that attribution is not necessary to qualify a proxy cyber operation as an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armed attack. A non-attributable cyber operation at the armed attack level also triggers the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targeted state’s right to respond in self-defense.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[73]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This is the better position, for if a proxy’s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operation cannot qualify as an armed attack unless attributable to a state, targeted states would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be limited to non-forceful response options—acts of retorsion, countermeasures, or actions out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of necessity—to defeat the most severe cyber operations by cyber proxies. In some cases, such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a response would prove insufficient.</w:t>
      </w:r>
    </w:p>
    <w:p>
      <w:pPr>
        <w:autoSpaceDN w:val="0"/>
        <w:autoSpaceDE w:val="0"/>
        <w:widowControl/>
        <w:spacing w:line="280" w:lineRule="exact" w:before="90" w:after="0"/>
        <w:ind w:left="900" w:right="72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>Assuming that a proxy’s cyber operation may qualify as an armed attack without attrib-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uting the conduct to a state, controversy also exists around whether a forcible defensive re-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sponse against the proxy is allowed into a state to which the operation cannot be attributed.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 majority of the </w:t>
      </w:r>
      <w:r>
        <w:rPr>
          <w:rFonts w:ascii="CorporateAPro" w:hAnsi="CorporateAPro" w:eastAsia="CorporateAPro"/>
          <w:b w:val="0"/>
          <w:i/>
          <w:color w:val="221F1F"/>
          <w:sz w:val="22"/>
        </w:rPr>
        <w:t>Tallinn Manual 2.0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experts support the position, one shared by the United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States, that a targeted state may respond with force that is both necessary and proportionate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against the proxy so long as the state is unable or unwilling to stop the proxy’s cyber armed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attack.</w:t>
      </w:r>
      <w:r>
        <w:rPr>
          <w:w w:val="98.66154010479266"/>
          <w:rFonts w:ascii="CorporateAPro" w:hAnsi="CorporateAPro" w:eastAsia="CorporateAPro"/>
          <w:b w:val="0"/>
          <w:i w:val="0"/>
          <w:color w:val="221F1F"/>
          <w:sz w:val="13"/>
        </w:rPr>
        <w:t>[74]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 Take the case of a cyber proxy conducting operations from state A’s territory that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cause significant damage to state B’s critical cyberinfrastructure. The targeted state believes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state A is behind the operation but cannot acquire sufficient evidence to attribute the oper-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ations confidently. If it cannot be established that state A is able and willing to stop the op-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erations, the targeted state may employ necessary and proportionate cyber operations at the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use of force level against the cyber proxy in state A. The same would apply to cyber proxies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operating within other states that are not linked to the proxies so long as those other states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are unable and unwilling to stop the proxy.</w:t>
      </w:r>
    </w:p>
    <w:p>
      <w:pPr>
        <w:autoSpaceDN w:val="0"/>
        <w:autoSpaceDE w:val="0"/>
        <w:widowControl/>
        <w:spacing w:line="358" w:lineRule="exact" w:before="1136" w:after="0"/>
        <w:ind w:left="0" w:right="1000" w:firstLine="0"/>
        <w:jc w:val="right"/>
      </w:pPr>
      <w:r/>
    </w:p>
    <w:p>
      <w:pPr>
        <w:autoSpaceDN w:val="0"/>
        <w:autoSpaceDE w:val="0"/>
        <w:widowControl/>
        <w:spacing w:line="160" w:lineRule="exact" w:before="290" w:after="0"/>
        <w:ind w:left="2736" w:right="2736" w:firstLine="0"/>
        <w:jc w:val="center"/>
      </w:pPr>
      <w:r/>
    </w:p>
    <w:p>
      <w:pPr>
        <w:sectPr>
          <w:pgSz w:w="10080" w:h="15200"/>
          <w:pgMar w:top="446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autoSpaceDE w:val="0"/>
        <w:widowControl/>
        <w:spacing w:line="240" w:lineRule="exact" w:before="16" w:after="0"/>
        <w:ind w:left="950" w:right="0" w:firstLine="0"/>
        <w:jc w:val="left"/>
      </w:pPr>
      <w:r/>
    </w:p>
    <w:p>
      <w:pPr>
        <w:autoSpaceDN w:val="0"/>
        <w:autoSpaceDE w:val="0"/>
        <w:widowControl/>
        <w:spacing w:line="298" w:lineRule="exact" w:before="284" w:after="0"/>
        <w:ind w:left="2" w:right="0" w:firstLine="0"/>
        <w:jc w:val="left"/>
      </w:pPr>
      <w:r/>
    </w:p>
    <w:p>
      <w:pPr>
        <w:autoSpaceDN w:val="0"/>
        <w:autoSpaceDE w:val="0"/>
        <w:widowControl/>
        <w:spacing w:line="280" w:lineRule="exact" w:before="62" w:after="0"/>
        <w:ind w:left="0" w:right="0" w:firstLine="180"/>
        <w:jc w:val="left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The use of cyber proxies by states like Russia, China, North Korea, and Iran adds a layer of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complexity to the legal and policy assessments that targeted states must make when consider-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ing how to respond to hostile cyber operations. In particular, the factual and legal relationships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between a proxy and the state concerned may determine whether particular types of responses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>against proxy cyber operations are permissible. Nevertheless, in certain circumstances, inter-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national law allows for meaningful responses even when attribution to a state is uncertain or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altogether missing. </w:t>
      </w:r>
    </w:p>
    <w:p>
      <w:pPr>
        <w:autoSpaceDN w:val="0"/>
        <w:autoSpaceDE w:val="0"/>
        <w:widowControl/>
        <w:spacing w:line="280" w:lineRule="exact" w:before="90" w:after="0"/>
        <w:ind w:left="0" w:right="20" w:firstLine="180"/>
        <w:jc w:val="both"/>
      </w:pP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The critical point to grasp is that the international law governing response options is often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permissive in terms of allowing responses, but at the same time, can be very nuanced and even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unsettled. Thus, every situation merits granular analysis when deciding how to limit, stop,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and deter hostile cyber operations by cyber proxies. Over time, state practice in dealing with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proxy cyber operations combined with statements from states regarding how they interpret the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relevant international law will yield greater clarity on the options available to defeat and deter </w:t>
      </w:r>
      <w:r>
        <w:rPr>
          <w:rFonts w:ascii="CorporateAPro" w:hAnsi="CorporateAPro" w:eastAsia="CorporateAPro"/>
          <w:b w:val="0"/>
          <w:i w:val="0"/>
          <w:color w:val="221F1F"/>
          <w:sz w:val="22"/>
        </w:rPr>
        <w:t xml:space="preserve">hostile proxy cyber operations. </w:t>
      </w:r>
    </w:p>
    <w:p>
      <w:pPr>
        <w:autoSpaceDN w:val="0"/>
        <w:autoSpaceDE w:val="0"/>
        <w:widowControl/>
        <w:spacing w:line="358" w:lineRule="exact" w:before="7636" w:after="0"/>
        <w:ind w:left="76" w:right="0" w:firstLine="0"/>
        <w:jc w:val="left"/>
      </w:pPr>
      <w:r/>
    </w:p>
    <w:p>
      <w:pPr>
        <w:autoSpaceDN w:val="0"/>
        <w:autoSpaceDE w:val="0"/>
        <w:widowControl/>
        <w:spacing w:line="160" w:lineRule="exact" w:before="294" w:after="0"/>
        <w:ind w:left="1872" w:right="2016" w:firstLine="0"/>
        <w:jc w:val="center"/>
      </w:pPr>
      <w:r/>
    </w:p>
    <w:p>
      <w:pPr>
        <w:sectPr>
          <w:pgSz w:w="10080" w:h="15200"/>
          <w:pgMar w:top="446" w:right="824" w:bottom="316" w:left="9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autoSpaceDE w:val="0"/>
        <w:widowControl/>
        <w:spacing w:line="240" w:lineRule="exact" w:before="16" w:after="0"/>
        <w:ind w:left="0" w:right="0" w:firstLine="0"/>
        <w:jc w:val="center"/>
      </w:pPr>
      <w:r/>
    </w:p>
    <w:p>
      <w:pPr>
        <w:autoSpaceDN w:val="0"/>
        <w:autoSpaceDE w:val="0"/>
        <w:widowControl/>
        <w:spacing w:line="298" w:lineRule="exact" w:before="284" w:after="0"/>
        <w:ind w:left="902" w:right="0" w:firstLine="0"/>
        <w:jc w:val="left"/>
      </w:pPr>
      <w:r/>
    </w:p>
    <w:p>
      <w:pPr>
        <w:autoSpaceDN w:val="0"/>
        <w:autoSpaceDE w:val="0"/>
        <w:widowControl/>
        <w:spacing w:line="200" w:lineRule="exact" w:before="52" w:after="0"/>
        <w:ind w:left="1160" w:right="864" w:hanging="260"/>
        <w:jc w:val="left"/>
      </w:pPr>
      <w:r/>
    </w:p>
    <w:p>
      <w:pPr>
        <w:autoSpaceDN w:val="0"/>
        <w:autoSpaceDE w:val="0"/>
        <w:widowControl/>
        <w:spacing w:line="200" w:lineRule="exact" w:before="36" w:after="0"/>
        <w:ind w:left="1160" w:right="864" w:hanging="260"/>
        <w:jc w:val="left"/>
      </w:pPr>
      <w:r/>
    </w:p>
    <w:p>
      <w:pPr>
        <w:autoSpaceDN w:val="0"/>
        <w:autoSpaceDE w:val="0"/>
        <w:widowControl/>
        <w:spacing w:line="200" w:lineRule="exact" w:before="36" w:after="0"/>
        <w:ind w:left="1160" w:right="1008" w:hanging="260"/>
        <w:jc w:val="left"/>
      </w:pPr>
      <w:r/>
    </w:p>
    <w:p>
      <w:pPr>
        <w:autoSpaceDN w:val="0"/>
        <w:tabs>
          <w:tab w:pos="1160" w:val="left"/>
        </w:tabs>
        <w:autoSpaceDE w:val="0"/>
        <w:widowControl/>
        <w:spacing w:line="200" w:lineRule="exact" w:before="36" w:after="0"/>
        <w:ind w:left="900" w:right="864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>4. Eneken Tikk, Kadri Kaska, and Liis Vihul,</w:t>
      </w:r>
      <w:r>
        <w:rPr>
          <w:rFonts w:ascii="Magneta" w:hAnsi="Magneta" w:eastAsia="Magneta"/>
          <w:b w:val="0"/>
          <w:i/>
          <w:color w:val="221F1F"/>
          <w:sz w:val="16"/>
        </w:rPr>
        <w:t xml:space="preserve"> International Cyber Incidents: Legal Considerations 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(Tallinn, Estonia: Cooperative </w:t>
      </w:r>
      <w:r>
        <w:tab/>
      </w:r>
      <w:r>
        <w:rPr>
          <w:rFonts w:ascii="Magneta" w:hAnsi="Magneta" w:eastAsia="Magneta"/>
          <w:b w:val="0"/>
          <w:i w:val="0"/>
          <w:color w:val="221F1F"/>
          <w:sz w:val="16"/>
        </w:rPr>
        <w:t>Cyber Defence Centre of Excellence, 2010), 23-24.</w:t>
      </w:r>
    </w:p>
    <w:p>
      <w:pPr>
        <w:autoSpaceDN w:val="0"/>
        <w:autoSpaceDE w:val="0"/>
        <w:widowControl/>
        <w:spacing w:line="200" w:lineRule="exact" w:before="36" w:after="0"/>
        <w:ind w:left="1160" w:right="1104" w:hanging="260"/>
        <w:jc w:val="both"/>
      </w:pPr>
      <w:r/>
    </w:p>
    <w:p>
      <w:pPr>
        <w:autoSpaceDN w:val="0"/>
        <w:autoSpaceDE w:val="0"/>
        <w:widowControl/>
        <w:spacing w:line="200" w:lineRule="exact" w:before="36" w:after="0"/>
        <w:ind w:left="1160" w:right="1008" w:hanging="260"/>
        <w:jc w:val="left"/>
      </w:pPr>
      <w:r/>
    </w:p>
    <w:p>
      <w:pPr>
        <w:autoSpaceDN w:val="0"/>
        <w:tabs>
          <w:tab w:pos="1160" w:val="left"/>
        </w:tabs>
        <w:autoSpaceDE w:val="0"/>
        <w:widowControl/>
        <w:spacing w:line="200" w:lineRule="exact" w:before="36" w:after="0"/>
        <w:ind w:left="900" w:right="864" w:firstLine="0"/>
        <w:jc w:val="left"/>
      </w:pPr>
      <w:r/>
    </w:p>
    <w:p>
      <w:pPr>
        <w:autoSpaceDN w:val="0"/>
        <w:tabs>
          <w:tab w:pos="1160" w:val="left"/>
        </w:tabs>
        <w:autoSpaceDE w:val="0"/>
        <w:widowControl/>
        <w:spacing w:line="200" w:lineRule="exact" w:before="36" w:after="0"/>
        <w:ind w:left="900" w:right="864" w:firstLine="0"/>
        <w:jc w:val="left"/>
      </w:pPr>
      <w:r/>
    </w:p>
    <w:p>
      <w:pPr>
        <w:autoSpaceDN w:val="0"/>
        <w:autoSpaceDE w:val="0"/>
        <w:widowControl/>
        <w:spacing w:line="200" w:lineRule="exact" w:before="36" w:after="0"/>
        <w:ind w:left="1160" w:right="864" w:hanging="260"/>
        <w:jc w:val="left"/>
      </w:pPr>
      <w:r/>
    </w:p>
    <w:p>
      <w:pPr>
        <w:autoSpaceDN w:val="0"/>
        <w:tabs>
          <w:tab w:pos="1160" w:val="left"/>
        </w:tabs>
        <w:autoSpaceDE w:val="0"/>
        <w:widowControl/>
        <w:spacing w:line="200" w:lineRule="exact" w:before="36" w:after="0"/>
        <w:ind w:left="900" w:right="1008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>10. See Michael N. Schmitt, ed.,</w:t>
      </w:r>
      <w:r>
        <w:rPr>
          <w:rFonts w:ascii="Magneta" w:hAnsi="Magneta" w:eastAsia="Magneta"/>
          <w:b w:val="0"/>
          <w:i/>
          <w:color w:val="221F1F"/>
          <w:sz w:val="16"/>
        </w:rPr>
        <w:t xml:space="preserve"> Tallinn Manual 2.0 on the International Law Applicable to Cyber Operations 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(Cambridge, UK: </w:t>
      </w:r>
      <w:r>
        <w:tab/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Cambridge University Press, 2017). </w:t>
      </w:r>
    </w:p>
    <w:p>
      <w:pPr>
        <w:autoSpaceDN w:val="0"/>
        <w:autoSpaceDE w:val="0"/>
        <w:widowControl/>
        <w:spacing w:line="210" w:lineRule="exact" w:before="26" w:after="0"/>
        <w:ind w:left="900" w:right="0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>11. Schmitt, rules 1, 66 and 68 respectively.</w:t>
      </w:r>
    </w:p>
    <w:p>
      <w:pPr>
        <w:autoSpaceDN w:val="0"/>
        <w:tabs>
          <w:tab w:pos="1160" w:val="left"/>
        </w:tabs>
        <w:autoSpaceDE w:val="0"/>
        <w:widowControl/>
        <w:spacing w:line="200" w:lineRule="exact" w:before="36" w:after="0"/>
        <w:ind w:left="900" w:right="1008" w:firstLine="0"/>
        <w:jc w:val="left"/>
      </w:pPr>
      <w:r/>
    </w:p>
    <w:p>
      <w:pPr>
        <w:autoSpaceDN w:val="0"/>
        <w:autoSpaceDE w:val="0"/>
        <w:widowControl/>
        <w:spacing w:line="200" w:lineRule="exact" w:before="36" w:after="0"/>
        <w:ind w:left="1160" w:right="864" w:hanging="260"/>
        <w:jc w:val="left"/>
      </w:pPr>
      <w:r/>
    </w:p>
    <w:p>
      <w:pPr>
        <w:autoSpaceDN w:val="0"/>
        <w:autoSpaceDE w:val="0"/>
        <w:widowControl/>
        <w:spacing w:line="200" w:lineRule="exact" w:before="36" w:after="0"/>
        <w:ind w:left="1160" w:right="1296" w:hanging="260"/>
        <w:jc w:val="left"/>
      </w:pPr>
      <w:r/>
    </w:p>
    <w:p>
      <w:pPr>
        <w:autoSpaceDN w:val="0"/>
        <w:autoSpaceDE w:val="0"/>
        <w:widowControl/>
        <w:spacing w:line="210" w:lineRule="exact" w:before="26" w:after="0"/>
        <w:ind w:left="900" w:right="0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>15. See AJP–3.20, v.</w:t>
      </w:r>
    </w:p>
    <w:p>
      <w:pPr>
        <w:autoSpaceDN w:val="0"/>
        <w:autoSpaceDE w:val="0"/>
        <w:widowControl/>
        <w:spacing w:line="200" w:lineRule="exact" w:before="36" w:after="0"/>
        <w:ind w:left="1160" w:right="864" w:hanging="260"/>
        <w:jc w:val="left"/>
      </w:pPr>
      <w:r/>
    </w:p>
    <w:p>
      <w:pPr>
        <w:autoSpaceDN w:val="0"/>
        <w:autoSpaceDE w:val="0"/>
        <w:widowControl/>
        <w:spacing w:line="200" w:lineRule="exact" w:before="36" w:after="0"/>
        <w:ind w:left="1160" w:right="1008" w:hanging="260"/>
        <w:jc w:val="left"/>
      </w:pPr>
      <w:r/>
    </w:p>
    <w:p>
      <w:pPr>
        <w:autoSpaceDN w:val="0"/>
        <w:autoSpaceDE w:val="0"/>
        <w:widowControl/>
        <w:spacing w:line="358" w:lineRule="exact" w:before="884" w:after="0"/>
        <w:ind w:left="0" w:right="1000" w:firstLine="0"/>
        <w:jc w:val="right"/>
      </w:pPr>
      <w:r/>
    </w:p>
    <w:p>
      <w:pPr>
        <w:autoSpaceDN w:val="0"/>
        <w:autoSpaceDE w:val="0"/>
        <w:widowControl/>
        <w:spacing w:line="160" w:lineRule="exact" w:before="290" w:after="0"/>
        <w:ind w:left="2736" w:right="2736" w:firstLine="0"/>
        <w:jc w:val="center"/>
      </w:pPr>
      <w:r/>
    </w:p>
    <w:p>
      <w:pPr>
        <w:sectPr>
          <w:pgSz w:w="10080" w:h="15200"/>
          <w:pgMar w:top="446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autoSpaceDE w:val="0"/>
        <w:widowControl/>
        <w:spacing w:line="240" w:lineRule="exact" w:before="16" w:after="0"/>
        <w:ind w:left="0" w:right="0" w:firstLine="0"/>
        <w:jc w:val="center"/>
      </w:pPr>
      <w:r/>
    </w:p>
    <w:p>
      <w:pPr>
        <w:autoSpaceDN w:val="0"/>
        <w:autoSpaceDE w:val="0"/>
        <w:widowControl/>
        <w:spacing w:line="252" w:lineRule="exact" w:before="330" w:after="0"/>
        <w:ind w:left="900" w:right="6192" w:firstLine="2"/>
        <w:jc w:val="left"/>
      </w:pPr>
      <w:r>
        <w:t xml:space="preserve"> </w:t>
        <w:br/>
        <w:t>18. Schmitt, ed., Tallinn Manual 2.0, 22-23.</w:t>
      </w:r>
    </w:p>
    <w:p>
      <w:pPr>
        <w:autoSpaceDN w:val="0"/>
        <w:tabs>
          <w:tab w:pos="1160" w:val="left"/>
        </w:tabs>
        <w:autoSpaceDE w:val="0"/>
        <w:widowControl/>
        <w:spacing w:line="200" w:lineRule="exact" w:before="36" w:after="0"/>
        <w:ind w:left="900" w:right="1008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19. </w:t>
      </w:r>
      <w:r>
        <w:rPr>
          <w:rFonts w:ascii="Magneta" w:hAnsi="Magneta" w:eastAsia="Magneta"/>
          <w:b w:val="0"/>
          <w:i/>
          <w:color w:val="221F1F"/>
          <w:sz w:val="16"/>
        </w:rPr>
        <w:t>Case Concerning Military and Paramilitary Activities in and against Nicaragua (Nicaragua v. United States)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, Judgment, 1986 </w:t>
      </w:r>
      <w:r>
        <w:tab/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I.C.J. Rep. 14, ¶¶ 202, 205 (1986); Schmitt, ed., </w:t>
      </w:r>
      <w:r>
        <w:rPr>
          <w:rFonts w:ascii="Magneta" w:hAnsi="Magneta" w:eastAsia="Magneta"/>
          <w:b w:val="0"/>
          <w:i/>
          <w:color w:val="221F1F"/>
          <w:sz w:val="16"/>
        </w:rPr>
        <w:t>Tallinn Manual 2.0,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 rule 66.</w:t>
      </w:r>
    </w:p>
    <w:p>
      <w:pPr>
        <w:autoSpaceDN w:val="0"/>
        <w:autoSpaceDE w:val="0"/>
        <w:widowControl/>
        <w:spacing w:line="200" w:lineRule="exact" w:before="36" w:after="0"/>
        <w:ind w:left="1160" w:right="864" w:hanging="260"/>
        <w:jc w:val="left"/>
      </w:pPr>
      <w:r/>
    </w:p>
    <w:p>
      <w:pPr>
        <w:autoSpaceDN w:val="0"/>
        <w:tabs>
          <w:tab w:pos="1160" w:val="left"/>
        </w:tabs>
        <w:autoSpaceDE w:val="0"/>
        <w:widowControl/>
        <w:spacing w:line="200" w:lineRule="exact" w:before="36" w:after="0"/>
        <w:ind w:left="900" w:right="1008" w:firstLine="0"/>
        <w:jc w:val="left"/>
      </w:pPr>
      <w:r/>
    </w:p>
    <w:p>
      <w:pPr>
        <w:autoSpaceDN w:val="0"/>
        <w:autoSpaceDE w:val="0"/>
        <w:widowControl/>
        <w:spacing w:line="200" w:lineRule="exact" w:before="36" w:after="0"/>
        <w:ind w:left="1160" w:right="864" w:hanging="260"/>
        <w:jc w:val="left"/>
      </w:pPr>
      <w:r/>
    </w:p>
    <w:p>
      <w:pPr>
        <w:autoSpaceDN w:val="0"/>
        <w:tabs>
          <w:tab w:pos="1160" w:val="left"/>
        </w:tabs>
        <w:autoSpaceDE w:val="0"/>
        <w:widowControl/>
        <w:spacing w:line="200" w:lineRule="exact" w:before="36" w:after="0"/>
        <w:ind w:left="900" w:right="1008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23. See France, </w:t>
      </w:r>
      <w:r>
        <w:rPr>
          <w:rFonts w:ascii="Magneta" w:hAnsi="Magneta" w:eastAsia="Magneta"/>
          <w:b w:val="0"/>
          <w:i/>
          <w:color w:val="221F1F"/>
          <w:sz w:val="16"/>
        </w:rPr>
        <w:t>Operations in Cyberspace,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 § 1.2.1. France has, in fact, stated such economic damage may rise to the level of an </w:t>
      </w:r>
      <w:r>
        <w:tab/>
      </w:r>
      <w:r>
        <w:rPr>
          <w:rFonts w:ascii="Magneta" w:hAnsi="Magneta" w:eastAsia="Magneta"/>
          <w:b w:val="0"/>
          <w:i w:val="0"/>
          <w:color w:val="221F1F"/>
          <w:sz w:val="16"/>
        </w:rPr>
        <w:t>armed attack. Netherlands, International law in cyberspace, 4.</w:t>
      </w:r>
    </w:p>
    <w:p>
      <w:pPr>
        <w:autoSpaceDN w:val="0"/>
        <w:tabs>
          <w:tab w:pos="1160" w:val="left"/>
        </w:tabs>
        <w:autoSpaceDE w:val="0"/>
        <w:widowControl/>
        <w:spacing w:line="218" w:lineRule="exact" w:before="18" w:after="0"/>
        <w:ind w:left="900" w:right="1008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24. </w:t>
      </w:r>
      <w:r>
        <w:rPr>
          <w:rFonts w:ascii="Magneta" w:hAnsi="Magneta" w:eastAsia="Magneta"/>
          <w:b w:val="0"/>
          <w:i/>
          <w:color w:val="221F1F"/>
          <w:sz w:val="16"/>
        </w:rPr>
        <w:t>Case Concerning Application of the Convention on the Prevention and Punishment of the Crime of Genocide (Bosnia and Herze-</w:t>
      </w:r>
      <w:r>
        <w:tab/>
      </w:r>
      <w:r>
        <w:rPr>
          <w:rFonts w:ascii="Magneta" w:hAnsi="Magneta" w:eastAsia="Magneta"/>
          <w:b w:val="0"/>
          <w:i/>
          <w:color w:val="221F1F"/>
          <w:sz w:val="16"/>
        </w:rPr>
        <w:t>govina v. Serbia and Montenegro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), Judgment, 2007, I.C.J. Rep. 43, ¶ 392 (2007); </w:t>
      </w:r>
      <w:r>
        <w:rPr>
          <w:rFonts w:ascii="Magneta" w:hAnsi="Magneta" w:eastAsia="Magneta"/>
          <w:b w:val="0"/>
          <w:i/>
          <w:color w:val="221F1F"/>
          <w:sz w:val="16"/>
        </w:rPr>
        <w:t>Nicaragua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, 1986 Judgment, ¶¶ 109-10. 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25. </w:t>
      </w:r>
      <w:r>
        <w:rPr>
          <w:rFonts w:ascii="Magneta" w:hAnsi="Magneta" w:eastAsia="Magneta"/>
          <w:b w:val="0"/>
          <w:i/>
          <w:color w:val="221F1F"/>
          <w:sz w:val="16"/>
        </w:rPr>
        <w:t>Bosnia</w:t>
      </w:r>
      <w:r>
        <w:rPr>
          <w:rFonts w:ascii="Magneta" w:hAnsi="Magneta" w:eastAsia="Magneta"/>
          <w:b w:val="0"/>
          <w:i w:val="0"/>
          <w:color w:val="221F1F"/>
          <w:sz w:val="16"/>
        </w:rPr>
        <w:t>, 2007 Judgment, ¶ 392.</w:t>
      </w:r>
    </w:p>
    <w:p>
      <w:pPr>
        <w:autoSpaceDN w:val="0"/>
        <w:tabs>
          <w:tab w:pos="1160" w:val="left"/>
        </w:tabs>
        <w:autoSpaceDE w:val="0"/>
        <w:widowControl/>
        <w:spacing w:line="200" w:lineRule="exact" w:before="36" w:after="0"/>
        <w:ind w:left="900" w:right="864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26. International Law Commission, fifty-third session, </w:t>
      </w:r>
      <w:r>
        <w:rPr>
          <w:rFonts w:ascii="Magneta" w:hAnsi="Magneta" w:eastAsia="Magneta"/>
          <w:b w:val="0"/>
          <w:i/>
          <w:color w:val="221F1F"/>
          <w:sz w:val="16"/>
        </w:rPr>
        <w:t>Draft Articles on Responsibility of States for Internationally Wrongful Acts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, </w:t>
      </w:r>
      <w:r>
        <w:tab/>
      </w:r>
      <w:r>
        <w:rPr>
          <w:rFonts w:ascii="Magneta" w:hAnsi="Magneta" w:eastAsia="Magneta"/>
          <w:b w:val="0"/>
          <w:i w:val="0"/>
          <w:color w:val="221F1F"/>
          <w:sz w:val="16"/>
        </w:rPr>
        <w:t>A/56/10, November 2001, art. 5.</w:t>
      </w:r>
    </w:p>
    <w:p>
      <w:pPr>
        <w:autoSpaceDN w:val="0"/>
        <w:autoSpaceDE w:val="0"/>
        <w:widowControl/>
        <w:spacing w:line="210" w:lineRule="exact" w:before="26" w:after="0"/>
        <w:ind w:left="900" w:right="0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27. </w:t>
      </w:r>
      <w:r>
        <w:rPr>
          <w:rFonts w:ascii="Magneta" w:hAnsi="Magneta" w:eastAsia="Magneta"/>
          <w:b w:val="0"/>
          <w:i/>
          <w:color w:val="221F1F"/>
          <w:sz w:val="16"/>
        </w:rPr>
        <w:t>Articles on Responsibility of States</w:t>
      </w:r>
      <w:r>
        <w:rPr>
          <w:rFonts w:ascii="Magneta" w:hAnsi="Magneta" w:eastAsia="Magneta"/>
          <w:b w:val="0"/>
          <w:i w:val="0"/>
          <w:color w:val="221F1F"/>
          <w:sz w:val="16"/>
        </w:rPr>
        <w:t>, art. 8.</w:t>
      </w:r>
    </w:p>
    <w:p>
      <w:pPr>
        <w:autoSpaceDN w:val="0"/>
        <w:autoSpaceDE w:val="0"/>
        <w:widowControl/>
        <w:spacing w:line="210" w:lineRule="exact" w:before="26" w:after="0"/>
        <w:ind w:left="900" w:right="0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28. </w:t>
      </w:r>
      <w:r>
        <w:rPr>
          <w:rFonts w:ascii="Magneta" w:hAnsi="Magneta" w:eastAsia="Magneta"/>
          <w:b w:val="0"/>
          <w:i/>
          <w:color w:val="221F1F"/>
          <w:sz w:val="16"/>
        </w:rPr>
        <w:t>Articles on Responsibility of States,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 art. 8, ¶ 2.</w:t>
      </w:r>
    </w:p>
    <w:p>
      <w:pPr>
        <w:autoSpaceDN w:val="0"/>
        <w:autoSpaceDE w:val="0"/>
        <w:widowControl/>
        <w:spacing w:line="236" w:lineRule="exact" w:before="0" w:after="0"/>
        <w:ind w:left="900" w:right="864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29. </w:t>
      </w:r>
      <w:r>
        <w:rPr>
          <w:rFonts w:ascii="Magneta" w:hAnsi="Magneta" w:eastAsia="Magneta"/>
          <w:b w:val="0"/>
          <w:i/>
          <w:color w:val="221F1F"/>
          <w:sz w:val="16"/>
        </w:rPr>
        <w:t>Nicaragua,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 1986 Judgment, ¶ 115; </w:t>
      </w:r>
      <w:r>
        <w:rPr>
          <w:rFonts w:ascii="Magneta" w:hAnsi="Magneta" w:eastAsia="Magneta"/>
          <w:b w:val="0"/>
          <w:i/>
          <w:color w:val="221F1F"/>
          <w:sz w:val="16"/>
        </w:rPr>
        <w:t>Articles on Responsibility of States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, art. 8, ¶¶ 4-5, Schmitt, ed., </w:t>
      </w:r>
      <w:r>
        <w:rPr>
          <w:rFonts w:ascii="Magneta" w:hAnsi="Magneta" w:eastAsia="Magneta"/>
          <w:b w:val="0"/>
          <w:i/>
          <w:color w:val="221F1F"/>
          <w:sz w:val="16"/>
        </w:rPr>
        <w:t>Tallinn Manual 2.0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, rule 17. 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30. </w:t>
      </w:r>
      <w:r>
        <w:rPr>
          <w:rFonts w:ascii="Magneta" w:hAnsi="Magneta" w:eastAsia="Magneta"/>
          <w:b w:val="0"/>
          <w:i/>
          <w:color w:val="221F1F"/>
          <w:sz w:val="16"/>
        </w:rPr>
        <w:t>Nicaragua</w:t>
      </w:r>
      <w:r>
        <w:rPr>
          <w:rFonts w:ascii="Magneta" w:hAnsi="Magneta" w:eastAsia="Magneta"/>
          <w:b w:val="0"/>
          <w:i w:val="0"/>
          <w:color w:val="221F1F"/>
          <w:sz w:val="16"/>
        </w:rPr>
        <w:t>, 1986 Judgment, ¶ 115.</w:t>
      </w:r>
    </w:p>
    <w:p>
      <w:pPr>
        <w:autoSpaceDN w:val="0"/>
        <w:autoSpaceDE w:val="0"/>
        <w:widowControl/>
        <w:spacing w:line="210" w:lineRule="exact" w:before="26" w:after="0"/>
        <w:ind w:left="900" w:right="0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31. </w:t>
      </w:r>
      <w:r>
        <w:rPr>
          <w:rFonts w:ascii="Magneta" w:hAnsi="Magneta" w:eastAsia="Magneta"/>
          <w:b w:val="0"/>
          <w:i/>
          <w:color w:val="221F1F"/>
          <w:sz w:val="16"/>
        </w:rPr>
        <w:t>Articles on Responsibility of States</w:t>
      </w:r>
      <w:r>
        <w:rPr>
          <w:rFonts w:ascii="Magneta" w:hAnsi="Magneta" w:eastAsia="Magneta"/>
          <w:b w:val="0"/>
          <w:i w:val="0"/>
          <w:color w:val="221F1F"/>
          <w:sz w:val="16"/>
        </w:rPr>
        <w:t>, art. 11; Schmitt, ed.,</w:t>
      </w:r>
      <w:r>
        <w:rPr>
          <w:rFonts w:ascii="Magneta" w:hAnsi="Magneta" w:eastAsia="Magneta"/>
          <w:b w:val="0"/>
          <w:i/>
          <w:color w:val="221F1F"/>
          <w:sz w:val="16"/>
        </w:rPr>
        <w:t xml:space="preserve"> Tallinn Manual 2.0</w:t>
      </w:r>
      <w:r>
        <w:rPr>
          <w:rFonts w:ascii="Magneta" w:hAnsi="Magneta" w:eastAsia="Magneta"/>
          <w:b w:val="0"/>
          <w:i w:val="0"/>
          <w:color w:val="221F1F"/>
          <w:sz w:val="16"/>
        </w:rPr>
        <w:t>, rule 17.</w:t>
      </w:r>
    </w:p>
    <w:p>
      <w:pPr>
        <w:autoSpaceDN w:val="0"/>
        <w:tabs>
          <w:tab w:pos="1160" w:val="left"/>
        </w:tabs>
        <w:autoSpaceDE w:val="0"/>
        <w:widowControl/>
        <w:spacing w:line="200" w:lineRule="exact" w:before="36" w:after="0"/>
        <w:ind w:left="900" w:right="1152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32. Thomas Geigrich, “Retorsion,” in </w:t>
      </w:r>
      <w:r>
        <w:rPr>
          <w:rFonts w:ascii="Magneta" w:hAnsi="Magneta" w:eastAsia="Magneta"/>
          <w:b w:val="0"/>
          <w:i/>
          <w:color w:val="221F1F"/>
          <w:sz w:val="16"/>
        </w:rPr>
        <w:t xml:space="preserve">Max Planck Encyclopedia of Public International Law 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(Oxford, UK: Oxford University </w:t>
      </w:r>
      <w:r>
        <w:tab/>
      </w:r>
      <w:r>
        <w:rPr>
          <w:rFonts w:ascii="Magneta" w:hAnsi="Magneta" w:eastAsia="Magneta"/>
          <w:b w:val="0"/>
          <w:i w:val="0"/>
          <w:color w:val="221F1F"/>
          <w:sz w:val="16"/>
        </w:rPr>
        <w:t>Press, 2011), § 1-3.</w:t>
      </w:r>
    </w:p>
    <w:p>
      <w:pPr>
        <w:autoSpaceDN w:val="0"/>
        <w:tabs>
          <w:tab w:pos="1160" w:val="left"/>
        </w:tabs>
        <w:autoSpaceDE w:val="0"/>
        <w:widowControl/>
        <w:spacing w:line="200" w:lineRule="exact" w:before="36" w:after="0"/>
        <w:ind w:left="900" w:right="864" w:firstLine="0"/>
        <w:jc w:val="left"/>
      </w:pPr>
      <w:r/>
    </w:p>
    <w:p>
      <w:pPr>
        <w:autoSpaceDN w:val="0"/>
        <w:tabs>
          <w:tab w:pos="1160" w:val="left"/>
        </w:tabs>
        <w:autoSpaceDE w:val="0"/>
        <w:widowControl/>
        <w:spacing w:line="200" w:lineRule="exact" w:before="36" w:after="0"/>
        <w:ind w:left="900" w:right="864" w:firstLine="0"/>
        <w:jc w:val="left"/>
      </w:pPr>
      <w:r/>
    </w:p>
    <w:p>
      <w:pPr>
        <w:autoSpaceDN w:val="0"/>
        <w:autoSpaceDE w:val="0"/>
        <w:widowControl/>
        <w:spacing w:line="200" w:lineRule="exact" w:before="36" w:after="0"/>
        <w:ind w:left="864" w:right="1152" w:firstLine="0"/>
        <w:jc w:val="center"/>
      </w:pPr>
      <w:r/>
    </w:p>
    <w:p>
      <w:pPr>
        <w:autoSpaceDN w:val="0"/>
        <w:tabs>
          <w:tab w:pos="1160" w:val="left"/>
        </w:tabs>
        <w:autoSpaceDE w:val="0"/>
        <w:widowControl/>
        <w:spacing w:line="218" w:lineRule="exact" w:before="18" w:after="0"/>
        <w:ind w:left="900" w:right="864" w:firstLine="0"/>
        <w:jc w:val="left"/>
      </w:pPr>
      <w:r/>
    </w:p>
    <w:p>
      <w:pPr>
        <w:autoSpaceDN w:val="0"/>
        <w:tabs>
          <w:tab w:pos="1160" w:val="left"/>
        </w:tabs>
        <w:autoSpaceDE w:val="0"/>
        <w:widowControl/>
        <w:spacing w:line="200" w:lineRule="exact" w:before="36" w:after="0"/>
        <w:ind w:left="900" w:right="1008" w:firstLine="0"/>
        <w:jc w:val="left"/>
      </w:pPr>
      <w:r/>
    </w:p>
    <w:p>
      <w:pPr>
        <w:autoSpaceDN w:val="0"/>
        <w:autoSpaceDE w:val="0"/>
        <w:widowControl/>
        <w:spacing w:line="210" w:lineRule="exact" w:before="26" w:after="0"/>
        <w:ind w:left="900" w:right="0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39. Schmitt, ed., </w:t>
      </w:r>
      <w:r>
        <w:rPr>
          <w:rFonts w:ascii="Magneta" w:hAnsi="Magneta" w:eastAsia="Magneta"/>
          <w:b w:val="0"/>
          <w:i/>
          <w:color w:val="221F1F"/>
          <w:sz w:val="16"/>
        </w:rPr>
        <w:t>Tallinn Manual 2.0</w:t>
      </w:r>
      <w:r>
        <w:rPr>
          <w:rFonts w:ascii="Magneta" w:hAnsi="Magneta" w:eastAsia="Magneta"/>
          <w:b w:val="0"/>
          <w:i w:val="0"/>
          <w:color w:val="221F1F"/>
          <w:sz w:val="16"/>
        </w:rPr>
        <w:t>, rule 26.</w:t>
      </w:r>
    </w:p>
    <w:p>
      <w:pPr>
        <w:autoSpaceDN w:val="0"/>
        <w:autoSpaceDE w:val="0"/>
        <w:widowControl/>
        <w:spacing w:line="210" w:lineRule="exact" w:before="26" w:after="0"/>
        <w:ind w:left="900" w:right="0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40. Schmitt, ed., </w:t>
      </w:r>
      <w:r>
        <w:rPr>
          <w:rFonts w:ascii="Magneta" w:hAnsi="Magneta" w:eastAsia="Magneta"/>
          <w:b w:val="0"/>
          <w:i/>
          <w:color w:val="221F1F"/>
          <w:sz w:val="16"/>
        </w:rPr>
        <w:t>Tallinn Manual 2.0,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 rule 32.</w:t>
      </w:r>
    </w:p>
    <w:p>
      <w:pPr>
        <w:autoSpaceDN w:val="0"/>
        <w:autoSpaceDE w:val="0"/>
        <w:widowControl/>
        <w:spacing w:line="200" w:lineRule="exact" w:before="36" w:after="0"/>
        <w:ind w:left="1160" w:right="1008" w:hanging="260"/>
        <w:jc w:val="left"/>
      </w:pPr>
      <w:r/>
    </w:p>
    <w:p>
      <w:pPr>
        <w:autoSpaceDN w:val="0"/>
        <w:autoSpaceDE w:val="0"/>
        <w:widowControl/>
        <w:spacing w:line="358" w:lineRule="exact" w:before="1628" w:after="0"/>
        <w:ind w:left="976" w:right="0" w:firstLine="0"/>
        <w:jc w:val="left"/>
      </w:pPr>
      <w:r/>
    </w:p>
    <w:p>
      <w:pPr>
        <w:autoSpaceDN w:val="0"/>
        <w:autoSpaceDE w:val="0"/>
        <w:widowControl/>
        <w:spacing w:line="160" w:lineRule="exact" w:before="294" w:after="0"/>
        <w:ind w:left="2736" w:right="2736" w:firstLine="0"/>
        <w:jc w:val="center"/>
      </w:pPr>
      <w:r/>
    </w:p>
    <w:p>
      <w:pPr>
        <w:sectPr>
          <w:pgSz w:w="10080" w:h="15200"/>
          <w:pgMar w:top="446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autoSpaceDE w:val="0"/>
        <w:widowControl/>
        <w:spacing w:line="240" w:lineRule="exact" w:before="16" w:after="0"/>
        <w:ind w:left="0" w:right="0" w:firstLine="0"/>
        <w:jc w:val="center"/>
      </w:pPr>
      <w:r/>
    </w:p>
    <w:p>
      <w:pPr>
        <w:autoSpaceDN w:val="0"/>
        <w:autoSpaceDE w:val="0"/>
        <w:widowControl/>
        <w:spacing w:line="252" w:lineRule="exact" w:before="330" w:after="0"/>
        <w:ind w:left="900" w:right="6192" w:firstLine="2"/>
        <w:jc w:val="left"/>
      </w:pPr>
      <w:r>
        <w:t xml:space="preserve"> </w:t>
        <w:br/>
        <w:t>42. Schmitt, ed., Tallinn Manual 2.0, rule 2.</w:t>
      </w:r>
    </w:p>
    <w:p>
      <w:pPr>
        <w:autoSpaceDN w:val="0"/>
        <w:autoSpaceDE w:val="0"/>
        <w:widowControl/>
        <w:spacing w:line="210" w:lineRule="exact" w:before="26" w:after="0"/>
        <w:ind w:left="900" w:right="0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43. U.S. Department of Justice, </w:t>
      </w:r>
      <w:r>
        <w:rPr>
          <w:rFonts w:ascii="Magneta" w:hAnsi="Magneta" w:eastAsia="Magneta"/>
          <w:b w:val="0"/>
          <w:i/>
          <w:color w:val="221F1F"/>
          <w:sz w:val="16"/>
        </w:rPr>
        <w:t>U.S. Charges Russian FSB Officers.</w:t>
      </w:r>
    </w:p>
    <w:p>
      <w:pPr>
        <w:autoSpaceDN w:val="0"/>
        <w:tabs>
          <w:tab w:pos="1160" w:val="left"/>
        </w:tabs>
        <w:autoSpaceDE w:val="0"/>
        <w:widowControl/>
        <w:spacing w:line="200" w:lineRule="exact" w:before="36" w:after="0"/>
        <w:ind w:left="900" w:right="1152" w:firstLine="0"/>
        <w:jc w:val="left"/>
      </w:pPr>
      <w:r/>
    </w:p>
    <w:p>
      <w:pPr>
        <w:autoSpaceDN w:val="0"/>
        <w:autoSpaceDE w:val="0"/>
        <w:widowControl/>
        <w:spacing w:line="210" w:lineRule="exact" w:before="26" w:after="0"/>
        <w:ind w:left="900" w:right="0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45. Schmitt, ed., </w:t>
      </w:r>
      <w:r>
        <w:rPr>
          <w:rFonts w:ascii="Magneta" w:hAnsi="Magneta" w:eastAsia="Magneta"/>
          <w:b w:val="0"/>
          <w:i/>
          <w:color w:val="221F1F"/>
          <w:sz w:val="16"/>
        </w:rPr>
        <w:t>Tallinn Manual 2.0,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 rule 76.</w:t>
      </w:r>
    </w:p>
    <w:p>
      <w:pPr>
        <w:autoSpaceDN w:val="0"/>
        <w:autoSpaceDE w:val="0"/>
        <w:widowControl/>
        <w:spacing w:line="210" w:lineRule="exact" w:before="26" w:after="0"/>
        <w:ind w:left="900" w:right="0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>46. Statute of the International Court of Justice, art. 36, June 26, 1945, 59 Stat. 1055, 33 U.N.T.S. 145.</w:t>
      </w:r>
    </w:p>
    <w:p>
      <w:pPr>
        <w:autoSpaceDN w:val="0"/>
        <w:autoSpaceDE w:val="0"/>
        <w:widowControl/>
        <w:spacing w:line="210" w:lineRule="exact" w:before="26" w:after="0"/>
        <w:ind w:left="900" w:right="0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47. </w:t>
      </w:r>
      <w:r>
        <w:rPr>
          <w:rFonts w:ascii="Magneta" w:hAnsi="Magneta" w:eastAsia="Magneta"/>
          <w:b w:val="0"/>
          <w:i/>
          <w:color w:val="221F1F"/>
          <w:sz w:val="16"/>
        </w:rPr>
        <w:t>Articles on Responsibility of States</w:t>
      </w:r>
      <w:r>
        <w:rPr>
          <w:rFonts w:ascii="Magneta" w:hAnsi="Magneta" w:eastAsia="Magneta"/>
          <w:b w:val="0"/>
          <w:i w:val="0"/>
          <w:color w:val="221F1F"/>
          <w:sz w:val="16"/>
        </w:rPr>
        <w:t>, chapter V.</w:t>
      </w:r>
    </w:p>
    <w:p>
      <w:pPr>
        <w:autoSpaceDN w:val="0"/>
        <w:autoSpaceDE w:val="0"/>
        <w:widowControl/>
        <w:spacing w:line="210" w:lineRule="exact" w:before="26" w:after="0"/>
        <w:ind w:left="900" w:right="0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48. </w:t>
      </w:r>
      <w:r>
        <w:rPr>
          <w:rFonts w:ascii="Magneta" w:hAnsi="Magneta" w:eastAsia="Magneta"/>
          <w:b w:val="0"/>
          <w:i/>
          <w:color w:val="221F1F"/>
          <w:sz w:val="16"/>
        </w:rPr>
        <w:t>Articles on Responsibility of States,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 art. 49; Schmitt, ed., </w:t>
      </w:r>
      <w:r>
        <w:rPr>
          <w:rFonts w:ascii="Magneta" w:hAnsi="Magneta" w:eastAsia="Magneta"/>
          <w:b w:val="0"/>
          <w:i/>
          <w:color w:val="221F1F"/>
          <w:sz w:val="16"/>
        </w:rPr>
        <w:t>Tallinn Manual 2.0</w:t>
      </w:r>
      <w:r>
        <w:rPr>
          <w:rFonts w:ascii="Magneta" w:hAnsi="Magneta" w:eastAsia="Magneta"/>
          <w:b w:val="0"/>
          <w:i w:val="0"/>
          <w:color w:val="221F1F"/>
          <w:sz w:val="16"/>
        </w:rPr>
        <w:t>, rule 21.</w:t>
      </w:r>
    </w:p>
    <w:p>
      <w:pPr>
        <w:autoSpaceDN w:val="0"/>
        <w:autoSpaceDE w:val="0"/>
        <w:widowControl/>
        <w:spacing w:line="210" w:lineRule="exact" w:before="26" w:after="0"/>
        <w:ind w:left="900" w:right="0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49. Schmitt, ed., </w:t>
      </w:r>
      <w:r>
        <w:rPr>
          <w:rFonts w:ascii="Magneta" w:hAnsi="Magneta" w:eastAsia="Magneta"/>
          <w:b w:val="0"/>
          <w:i/>
          <w:color w:val="221F1F"/>
          <w:sz w:val="16"/>
        </w:rPr>
        <w:t xml:space="preserve">Tallinn Manual 2.0, </w:t>
      </w:r>
      <w:r>
        <w:rPr>
          <w:rFonts w:ascii="Magneta" w:hAnsi="Magneta" w:eastAsia="Magneta"/>
          <w:b w:val="0"/>
          <w:i w:val="0"/>
          <w:color w:val="221F1F"/>
          <w:sz w:val="16"/>
        </w:rPr>
        <w:t>131-32.</w:t>
      </w:r>
    </w:p>
    <w:p>
      <w:pPr>
        <w:autoSpaceDN w:val="0"/>
        <w:autoSpaceDE w:val="0"/>
        <w:widowControl/>
        <w:spacing w:line="210" w:lineRule="exact" w:before="26" w:after="0"/>
        <w:ind w:left="900" w:right="0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>50</w:t>
      </w:r>
      <w:r>
        <w:rPr>
          <w:rFonts w:ascii="Magneta" w:hAnsi="Magneta" w:eastAsia="Magneta"/>
          <w:b w:val="0"/>
          <w:i/>
          <w:color w:val="221F1F"/>
          <w:sz w:val="16"/>
        </w:rPr>
        <w:t>. Articles on Responsibility of States,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 art. 51; Schmitt, ed., </w:t>
      </w:r>
      <w:r>
        <w:rPr>
          <w:rFonts w:ascii="Magneta" w:hAnsi="Magneta" w:eastAsia="Magneta"/>
          <w:b w:val="0"/>
          <w:i/>
          <w:color w:val="221F1F"/>
          <w:sz w:val="16"/>
        </w:rPr>
        <w:t>Tallinn Manual 2.0,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 rule 23.</w:t>
      </w:r>
    </w:p>
    <w:p>
      <w:pPr>
        <w:autoSpaceDN w:val="0"/>
        <w:autoSpaceDE w:val="0"/>
        <w:widowControl/>
        <w:spacing w:line="210" w:lineRule="exact" w:before="26" w:after="0"/>
        <w:ind w:left="900" w:right="0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51. </w:t>
      </w:r>
      <w:r>
        <w:rPr>
          <w:rFonts w:ascii="Magneta" w:hAnsi="Magneta" w:eastAsia="Magneta"/>
          <w:b w:val="0"/>
          <w:i/>
          <w:color w:val="221F1F"/>
          <w:sz w:val="16"/>
        </w:rPr>
        <w:t>Articles on Responsibility of States,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 art. 50(1)(a), ¶ 5; Schmitt, ed., </w:t>
      </w:r>
      <w:r>
        <w:rPr>
          <w:rFonts w:ascii="Magneta" w:hAnsi="Magneta" w:eastAsia="Magneta"/>
          <w:b w:val="0"/>
          <w:i/>
          <w:color w:val="221F1F"/>
          <w:sz w:val="16"/>
        </w:rPr>
        <w:t>Tallinn Manual 2.0,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 rule 22.</w:t>
      </w:r>
    </w:p>
    <w:p>
      <w:pPr>
        <w:autoSpaceDN w:val="0"/>
        <w:autoSpaceDE w:val="0"/>
        <w:widowControl/>
        <w:spacing w:line="210" w:lineRule="exact" w:before="26" w:after="0"/>
        <w:ind w:left="900" w:right="0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52. Schmitt, ed., </w:t>
      </w:r>
      <w:r>
        <w:rPr>
          <w:rFonts w:ascii="Magneta" w:hAnsi="Magneta" w:eastAsia="Magneta"/>
          <w:b w:val="0"/>
          <w:i/>
          <w:color w:val="221F1F"/>
          <w:sz w:val="16"/>
        </w:rPr>
        <w:t>Tallinn Manual 2.0</w:t>
      </w:r>
      <w:r>
        <w:rPr>
          <w:rFonts w:ascii="Magneta" w:hAnsi="Magneta" w:eastAsia="Magneta"/>
          <w:b w:val="0"/>
          <w:i w:val="0"/>
          <w:color w:val="221F1F"/>
          <w:sz w:val="16"/>
        </w:rPr>
        <w:t>, rule 21, ¶¶ 4, 9.</w:t>
      </w:r>
    </w:p>
    <w:p>
      <w:pPr>
        <w:autoSpaceDN w:val="0"/>
        <w:autoSpaceDE w:val="0"/>
        <w:widowControl/>
        <w:spacing w:line="210" w:lineRule="exact" w:before="26" w:after="0"/>
        <w:ind w:left="900" w:right="0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53. </w:t>
      </w:r>
      <w:r>
        <w:rPr>
          <w:rFonts w:ascii="Magneta" w:hAnsi="Magneta" w:eastAsia="Magneta"/>
          <w:b w:val="0"/>
          <w:i/>
          <w:color w:val="221F1F"/>
          <w:sz w:val="16"/>
        </w:rPr>
        <w:t>Articles on Responsibility of States,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 art. 52, ¶ 6.</w:t>
      </w:r>
    </w:p>
    <w:p>
      <w:pPr>
        <w:autoSpaceDN w:val="0"/>
        <w:tabs>
          <w:tab w:pos="1160" w:val="left"/>
        </w:tabs>
        <w:autoSpaceDE w:val="0"/>
        <w:widowControl/>
        <w:spacing w:line="200" w:lineRule="exact" w:before="36" w:after="0"/>
        <w:ind w:left="900" w:right="1152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54. See, e.g., France, </w:t>
      </w:r>
      <w:r>
        <w:rPr>
          <w:rFonts w:ascii="Magneta" w:hAnsi="Magneta" w:eastAsia="Magneta"/>
          <w:b w:val="0"/>
          <w:i/>
          <w:color w:val="221F1F"/>
          <w:sz w:val="16"/>
        </w:rPr>
        <w:t>Operations in Cyberspace,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 § 1.1.3; Netherlands, </w:t>
      </w:r>
      <w:r>
        <w:rPr>
          <w:rFonts w:ascii="Magneta" w:hAnsi="Magneta" w:eastAsia="Magneta"/>
          <w:b w:val="0"/>
          <w:i/>
          <w:color w:val="221F1F"/>
          <w:sz w:val="16"/>
        </w:rPr>
        <w:t>International law in cyberspace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, 7; Wright, “Cyber and </w:t>
      </w:r>
      <w:r>
        <w:tab/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International Law;” Schmitt, ed., </w:t>
      </w:r>
      <w:r>
        <w:rPr>
          <w:rFonts w:ascii="Magneta" w:hAnsi="Magneta" w:eastAsia="Magneta"/>
          <w:b w:val="0"/>
          <w:i/>
          <w:color w:val="221F1F"/>
          <w:sz w:val="16"/>
        </w:rPr>
        <w:t>Tallinn Manual 2.0</w:t>
      </w:r>
      <w:r>
        <w:rPr>
          <w:rFonts w:ascii="Magneta" w:hAnsi="Magneta" w:eastAsia="Magneta"/>
          <w:b w:val="0"/>
          <w:i w:val="0"/>
          <w:color w:val="221F1F"/>
          <w:sz w:val="16"/>
        </w:rPr>
        <w:t>, rule 21, ¶¶ 10–12.</w:t>
      </w:r>
    </w:p>
    <w:p>
      <w:pPr>
        <w:autoSpaceDN w:val="0"/>
        <w:autoSpaceDE w:val="0"/>
        <w:widowControl/>
        <w:spacing w:line="210" w:lineRule="exact" w:before="26" w:after="0"/>
        <w:ind w:left="900" w:right="0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>55. UN Charter, art. 51.</w:t>
      </w:r>
    </w:p>
    <w:p>
      <w:pPr>
        <w:autoSpaceDN w:val="0"/>
        <w:autoSpaceDE w:val="0"/>
        <w:widowControl/>
        <w:spacing w:line="200" w:lineRule="exact" w:before="36" w:after="0"/>
        <w:ind w:left="1160" w:right="864" w:hanging="260"/>
        <w:jc w:val="left"/>
      </w:pPr>
      <w:r/>
    </w:p>
    <w:p>
      <w:pPr>
        <w:autoSpaceDN w:val="0"/>
        <w:autoSpaceDE w:val="0"/>
        <w:widowControl/>
        <w:spacing w:line="210" w:lineRule="exact" w:before="26" w:after="0"/>
        <w:ind w:left="0" w:right="0" w:firstLine="0"/>
        <w:jc w:val="center"/>
      </w:pP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57. Michael N. Schmitt and Sean Watts, “Collective Cyber Countermeasures?” </w:t>
      </w:r>
      <w:r>
        <w:rPr>
          <w:rFonts w:ascii="Magneta" w:hAnsi="Magneta" w:eastAsia="Magneta"/>
          <w:b w:val="0"/>
          <w:i/>
          <w:color w:val="221F1F"/>
          <w:sz w:val="16"/>
        </w:rPr>
        <w:t xml:space="preserve">Harvard National Security Journal </w:t>
      </w:r>
      <w:r>
        <w:rPr>
          <w:rFonts w:ascii="Magneta" w:hAnsi="Magneta" w:eastAsia="Magneta"/>
          <w:b w:val="0"/>
          <w:i w:val="0"/>
          <w:color w:val="221F1F"/>
          <w:sz w:val="16"/>
        </w:rPr>
        <w:t>(forthcoming).</w:t>
      </w:r>
    </w:p>
    <w:p>
      <w:pPr>
        <w:autoSpaceDN w:val="0"/>
        <w:tabs>
          <w:tab w:pos="1160" w:val="left"/>
        </w:tabs>
        <w:autoSpaceDE w:val="0"/>
        <w:widowControl/>
        <w:spacing w:line="200" w:lineRule="exact" w:before="36" w:after="0"/>
        <w:ind w:left="900" w:right="1152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58. It should be cautioned that this definition of proportionality differs from that in other bodies of law, such as self-defense, </w:t>
      </w:r>
      <w:r>
        <w:tab/>
      </w:r>
      <w:r>
        <w:rPr>
          <w:rFonts w:ascii="Magneta" w:hAnsi="Magneta" w:eastAsia="Magneta"/>
          <w:b w:val="0"/>
          <w:i w:val="0"/>
          <w:color w:val="221F1F"/>
          <w:sz w:val="16"/>
        </w:rPr>
        <w:t>human rights, and the law of armed conflict.</w:t>
      </w:r>
    </w:p>
    <w:p>
      <w:pPr>
        <w:autoSpaceDN w:val="0"/>
        <w:autoSpaceDE w:val="0"/>
        <w:widowControl/>
        <w:spacing w:line="210" w:lineRule="exact" w:before="26" w:after="0"/>
        <w:ind w:left="900" w:right="0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59. Schmitt, ed., </w:t>
      </w:r>
      <w:r>
        <w:rPr>
          <w:rFonts w:ascii="Magneta" w:hAnsi="Magneta" w:eastAsia="Magneta"/>
          <w:b w:val="0"/>
          <w:i/>
          <w:color w:val="221F1F"/>
          <w:sz w:val="16"/>
        </w:rPr>
        <w:t>Tallinn Manual 2.0</w:t>
      </w:r>
      <w:r>
        <w:rPr>
          <w:rFonts w:ascii="Magneta" w:hAnsi="Magneta" w:eastAsia="Magneta"/>
          <w:b w:val="0"/>
          <w:i w:val="0"/>
          <w:color w:val="221F1F"/>
          <w:sz w:val="16"/>
        </w:rPr>
        <w:t>, rule 6.</w:t>
      </w:r>
    </w:p>
    <w:p>
      <w:pPr>
        <w:autoSpaceDN w:val="0"/>
        <w:autoSpaceDE w:val="0"/>
        <w:widowControl/>
        <w:spacing w:line="210" w:lineRule="exact" w:before="26" w:after="0"/>
        <w:ind w:left="900" w:right="0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>60. See Michael N. Schmitt, “In Defense of Due Diligence in Cyberspace,”</w:t>
      </w:r>
      <w:r>
        <w:rPr>
          <w:rFonts w:ascii="Magneta" w:hAnsi="Magneta" w:eastAsia="Magneta"/>
          <w:b w:val="0"/>
          <w:i/>
          <w:color w:val="221F1F"/>
          <w:sz w:val="16"/>
        </w:rPr>
        <w:t xml:space="preserve"> Yale Law Journal 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125 (2015): 68-81. </w:t>
      </w:r>
    </w:p>
    <w:p>
      <w:pPr>
        <w:autoSpaceDN w:val="0"/>
        <w:autoSpaceDE w:val="0"/>
        <w:widowControl/>
        <w:spacing w:line="210" w:lineRule="exact" w:before="26" w:after="0"/>
        <w:ind w:left="900" w:right="0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61. Schmitt, ed., </w:t>
      </w:r>
      <w:r>
        <w:rPr>
          <w:rFonts w:ascii="Magneta" w:hAnsi="Magneta" w:eastAsia="Magneta"/>
          <w:b w:val="0"/>
          <w:i/>
          <w:color w:val="221F1F"/>
          <w:sz w:val="16"/>
        </w:rPr>
        <w:t>Tallinn Manual 2.0</w:t>
      </w:r>
      <w:r>
        <w:rPr>
          <w:rFonts w:ascii="Magneta" w:hAnsi="Magneta" w:eastAsia="Magneta"/>
          <w:b w:val="0"/>
          <w:i w:val="0"/>
          <w:color w:val="221F1F"/>
          <w:sz w:val="16"/>
        </w:rPr>
        <w:t>, 49-50.</w:t>
      </w:r>
    </w:p>
    <w:p>
      <w:pPr>
        <w:autoSpaceDN w:val="0"/>
        <w:autoSpaceDE w:val="0"/>
        <w:widowControl/>
        <w:spacing w:line="210" w:lineRule="exact" w:before="26" w:after="0"/>
        <w:ind w:left="900" w:right="0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62. </w:t>
      </w:r>
      <w:r>
        <w:rPr>
          <w:rFonts w:ascii="Magneta" w:hAnsi="Magneta" w:eastAsia="Magneta"/>
          <w:b w:val="0"/>
          <w:i/>
          <w:color w:val="221F1F"/>
          <w:sz w:val="16"/>
        </w:rPr>
        <w:t>Articles on Responsibility of States,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 art. 25(1)(a); Schmitt, ed., </w:t>
      </w:r>
      <w:r>
        <w:rPr>
          <w:rFonts w:ascii="Magneta" w:hAnsi="Magneta" w:eastAsia="Magneta"/>
          <w:b w:val="0"/>
          <w:i/>
          <w:color w:val="221F1F"/>
          <w:sz w:val="16"/>
        </w:rPr>
        <w:t>Tallinn Manual 2.0,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 rule 26.</w:t>
      </w:r>
    </w:p>
    <w:p>
      <w:pPr>
        <w:autoSpaceDN w:val="0"/>
        <w:tabs>
          <w:tab w:pos="1160" w:val="left"/>
        </w:tabs>
        <w:autoSpaceDE w:val="0"/>
        <w:widowControl/>
        <w:spacing w:line="200" w:lineRule="exact" w:before="36" w:after="0"/>
        <w:ind w:left="900" w:right="1008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>63. Schmitt, ed., Tallinn Manual 2.0, 139</w:t>
      </w:r>
      <w:r>
        <w:rPr>
          <w:rFonts w:ascii="Magneta" w:hAnsi="Magneta" w:eastAsia="Magneta"/>
          <w:b w:val="0"/>
          <w:i/>
          <w:color w:val="221F1F"/>
          <w:sz w:val="16"/>
        </w:rPr>
        <w:t>; Case Concerning the Gabčíkovo-Nagymaros Project (Hungary/Slovakia)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, Judgment, </w:t>
      </w:r>
      <w:r>
        <w:tab/>
      </w:r>
      <w:r>
        <w:rPr>
          <w:rFonts w:ascii="Magneta" w:hAnsi="Magneta" w:eastAsia="Magneta"/>
          <w:b w:val="0"/>
          <w:i w:val="0"/>
          <w:color w:val="221F1F"/>
          <w:sz w:val="16"/>
        </w:rPr>
        <w:t>1997 I.C.J. Rep 7. ¶ 54 (1997).</w:t>
      </w:r>
    </w:p>
    <w:p>
      <w:pPr>
        <w:autoSpaceDN w:val="0"/>
        <w:autoSpaceDE w:val="0"/>
        <w:widowControl/>
        <w:spacing w:line="210" w:lineRule="exact" w:before="26" w:after="0"/>
        <w:ind w:left="900" w:right="0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64. Schmitt, ed., </w:t>
      </w:r>
      <w:r>
        <w:rPr>
          <w:rFonts w:ascii="Magneta" w:hAnsi="Magneta" w:eastAsia="Magneta"/>
          <w:b w:val="0"/>
          <w:i/>
          <w:color w:val="221F1F"/>
          <w:sz w:val="16"/>
        </w:rPr>
        <w:t>Tallinn Manual 2.0,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 135.</w:t>
      </w:r>
    </w:p>
    <w:p>
      <w:pPr>
        <w:autoSpaceDN w:val="0"/>
        <w:autoSpaceDE w:val="0"/>
        <w:widowControl/>
        <w:spacing w:line="210" w:lineRule="exact" w:before="26" w:after="0"/>
        <w:ind w:left="900" w:right="0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65. </w:t>
      </w:r>
      <w:r>
        <w:rPr>
          <w:rFonts w:ascii="Magneta" w:hAnsi="Magneta" w:eastAsia="Magneta"/>
          <w:b w:val="0"/>
          <w:i/>
          <w:color w:val="221F1F"/>
          <w:sz w:val="16"/>
        </w:rPr>
        <w:t>Articles on Responsibility of States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, art. 25(1)(b); Schmitt, ed., </w:t>
      </w:r>
      <w:r>
        <w:rPr>
          <w:rFonts w:ascii="Magneta" w:hAnsi="Magneta" w:eastAsia="Magneta"/>
          <w:b w:val="0"/>
          <w:i/>
          <w:color w:val="221F1F"/>
          <w:sz w:val="16"/>
        </w:rPr>
        <w:t>Tallinn Manual 2.0</w:t>
      </w:r>
      <w:r>
        <w:rPr>
          <w:rFonts w:ascii="Magneta" w:hAnsi="Magneta" w:eastAsia="Magneta"/>
          <w:b w:val="0"/>
          <w:i w:val="0"/>
          <w:color w:val="221F1F"/>
          <w:sz w:val="16"/>
        </w:rPr>
        <w:t>, 137.</w:t>
      </w:r>
    </w:p>
    <w:p>
      <w:pPr>
        <w:autoSpaceDN w:val="0"/>
        <w:autoSpaceDE w:val="0"/>
        <w:widowControl/>
        <w:spacing w:line="210" w:lineRule="exact" w:before="26" w:after="0"/>
        <w:ind w:left="900" w:right="0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66. </w:t>
      </w:r>
      <w:r>
        <w:rPr>
          <w:rFonts w:ascii="Magneta" w:hAnsi="Magneta" w:eastAsia="Magneta"/>
          <w:b w:val="0"/>
          <w:i/>
          <w:color w:val="221F1F"/>
          <w:sz w:val="16"/>
        </w:rPr>
        <w:t>Articles on Responsibility of States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, art. 50(1)(a), ¶ 5; Schmitt, ed., </w:t>
      </w:r>
      <w:r>
        <w:rPr>
          <w:rFonts w:ascii="Magneta" w:hAnsi="Magneta" w:eastAsia="Magneta"/>
          <w:b w:val="0"/>
          <w:i/>
          <w:color w:val="221F1F"/>
          <w:sz w:val="16"/>
        </w:rPr>
        <w:t>Tallinn Manual 2.0,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 rule 22.</w:t>
      </w:r>
    </w:p>
    <w:p>
      <w:pPr>
        <w:autoSpaceDN w:val="0"/>
        <w:autoSpaceDE w:val="0"/>
        <w:widowControl/>
        <w:spacing w:line="210" w:lineRule="exact" w:before="26" w:after="0"/>
        <w:ind w:left="900" w:right="0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67. Schmitt, ed., </w:t>
      </w:r>
      <w:r>
        <w:rPr>
          <w:rFonts w:ascii="Magneta" w:hAnsi="Magneta" w:eastAsia="Magneta"/>
          <w:b w:val="0"/>
          <w:i/>
          <w:color w:val="221F1F"/>
          <w:sz w:val="16"/>
        </w:rPr>
        <w:t>Tallinn Manual 2.0,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 rule 26, ¶¶ 18–19</w:t>
      </w:r>
      <w:r>
        <w:rPr>
          <w:rFonts w:ascii="Magneta" w:hAnsi="Magneta" w:eastAsia="Magneta"/>
          <w:b w:val="0"/>
          <w:i/>
          <w:color w:val="221F1F"/>
          <w:sz w:val="16"/>
        </w:rPr>
        <w:t>; Articles on Responsibility of States</w:t>
      </w:r>
      <w:r>
        <w:rPr>
          <w:rFonts w:ascii="Magneta" w:hAnsi="Magneta" w:eastAsia="Magneta"/>
          <w:b w:val="0"/>
          <w:i w:val="0"/>
          <w:color w:val="221F1F"/>
          <w:sz w:val="16"/>
        </w:rPr>
        <w:t>, art. 25, ¶ 21.</w:t>
      </w:r>
    </w:p>
    <w:p>
      <w:pPr>
        <w:autoSpaceDN w:val="0"/>
        <w:autoSpaceDE w:val="0"/>
        <w:widowControl/>
        <w:spacing w:line="210" w:lineRule="exact" w:before="26" w:after="0"/>
        <w:ind w:left="900" w:right="0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68. Schmitt, ed., </w:t>
      </w:r>
      <w:r>
        <w:rPr>
          <w:rFonts w:ascii="Magneta" w:hAnsi="Magneta" w:eastAsia="Magneta"/>
          <w:b w:val="0"/>
          <w:i/>
          <w:color w:val="221F1F"/>
          <w:sz w:val="16"/>
        </w:rPr>
        <w:t>Tallinn Manual 2.0,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 341.</w:t>
      </w:r>
    </w:p>
    <w:p>
      <w:pPr>
        <w:autoSpaceDN w:val="0"/>
        <w:autoSpaceDE w:val="0"/>
        <w:widowControl/>
        <w:spacing w:line="210" w:lineRule="exact" w:before="26" w:after="0"/>
        <w:ind w:left="900" w:right="0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>69. France, Operations in Cyberspace, § 1.2.1.</w:t>
      </w:r>
    </w:p>
    <w:p>
      <w:pPr>
        <w:autoSpaceDN w:val="0"/>
        <w:autoSpaceDE w:val="0"/>
        <w:widowControl/>
        <w:spacing w:line="210" w:lineRule="exact" w:before="26" w:after="0"/>
        <w:ind w:left="900" w:right="0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>70. Nicaragua, 1986 Judgment, ¶ 195.</w:t>
      </w:r>
    </w:p>
    <w:p>
      <w:pPr>
        <w:autoSpaceDN w:val="0"/>
        <w:autoSpaceDE w:val="0"/>
        <w:widowControl/>
        <w:spacing w:line="210" w:lineRule="exact" w:before="26" w:after="0"/>
        <w:ind w:left="900" w:right="0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71. Schmitt, ed., </w:t>
      </w:r>
      <w:r>
        <w:rPr>
          <w:rFonts w:ascii="Magneta" w:hAnsi="Magneta" w:eastAsia="Magneta"/>
          <w:b w:val="0"/>
          <w:i/>
          <w:color w:val="221F1F"/>
          <w:sz w:val="16"/>
        </w:rPr>
        <w:t>Tallinn Manual 2.0,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 rule 72.</w:t>
      </w:r>
    </w:p>
    <w:p>
      <w:pPr>
        <w:autoSpaceDN w:val="0"/>
        <w:autoSpaceDE w:val="0"/>
        <w:widowControl/>
        <w:spacing w:line="210" w:lineRule="exact" w:before="26" w:after="0"/>
        <w:ind w:left="900" w:right="0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>72. Nicaragua, 1986 Judgment, ¶ 195; Schmitt, ed.,</w:t>
      </w:r>
      <w:r>
        <w:rPr>
          <w:rFonts w:ascii="Magneta" w:hAnsi="Magneta" w:eastAsia="Magneta"/>
          <w:b w:val="0"/>
          <w:i/>
          <w:color w:val="221F1F"/>
          <w:sz w:val="16"/>
        </w:rPr>
        <w:t xml:space="preserve"> Tallinn Manual 2.0,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 rule 71, ¶¶ 16-17.</w:t>
      </w:r>
    </w:p>
    <w:p>
      <w:pPr>
        <w:autoSpaceDN w:val="0"/>
        <w:tabs>
          <w:tab w:pos="1160" w:val="left"/>
        </w:tabs>
        <w:autoSpaceDE w:val="0"/>
        <w:widowControl/>
        <w:spacing w:line="200" w:lineRule="exact" w:before="36" w:after="0"/>
        <w:ind w:left="900" w:right="864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73. Schmitt, ed., </w:t>
      </w:r>
      <w:r>
        <w:rPr>
          <w:rFonts w:ascii="Magneta" w:hAnsi="Magneta" w:eastAsia="Magneta"/>
          <w:b w:val="0"/>
          <w:i/>
          <w:color w:val="221F1F"/>
          <w:sz w:val="16"/>
        </w:rPr>
        <w:t>Tallinn Manual 2.0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, rule 71, ¶¶ 19-20; U.S. Department of Defense, </w:t>
      </w:r>
      <w:r>
        <w:rPr>
          <w:rFonts w:ascii="Magneta" w:hAnsi="Magneta" w:eastAsia="Magneta"/>
          <w:b w:val="0"/>
          <w:i/>
          <w:color w:val="221F1F"/>
          <w:sz w:val="16"/>
        </w:rPr>
        <w:t xml:space="preserve">Law of War Manual 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(June 2015,updated </w:t>
      </w:r>
      <w:r>
        <w:tab/>
      </w:r>
      <w:r>
        <w:rPr>
          <w:rFonts w:ascii="Magneta" w:hAnsi="Magneta" w:eastAsia="Magneta"/>
          <w:b w:val="0"/>
          <w:i w:val="0"/>
          <w:color w:val="221F1F"/>
          <w:sz w:val="16"/>
        </w:rPr>
        <w:t>December 2016), § 16.3.3.4.</w:t>
      </w:r>
    </w:p>
    <w:p>
      <w:pPr>
        <w:autoSpaceDN w:val="0"/>
        <w:autoSpaceDE w:val="0"/>
        <w:widowControl/>
        <w:spacing w:line="210" w:lineRule="exact" w:before="26" w:after="0"/>
        <w:ind w:left="900" w:right="0" w:firstLine="0"/>
        <w:jc w:val="left"/>
      </w:pP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74. Schmitt, ed., </w:t>
      </w:r>
      <w:r>
        <w:rPr>
          <w:rFonts w:ascii="Magneta" w:hAnsi="Magneta" w:eastAsia="Magneta"/>
          <w:b w:val="0"/>
          <w:i/>
          <w:color w:val="221F1F"/>
          <w:sz w:val="16"/>
        </w:rPr>
        <w:t>Tallinn Manual 2.0</w:t>
      </w:r>
      <w:r>
        <w:rPr>
          <w:rFonts w:ascii="Magneta" w:hAnsi="Magneta" w:eastAsia="Magneta"/>
          <w:b w:val="0"/>
          <w:i w:val="0"/>
          <w:color w:val="221F1F"/>
          <w:sz w:val="16"/>
        </w:rPr>
        <w:t xml:space="preserve">, rule 71, ¶¶ 25-26; </w:t>
      </w:r>
      <w:r>
        <w:rPr>
          <w:rFonts w:ascii="Magneta" w:hAnsi="Magneta" w:eastAsia="Magneta"/>
          <w:b w:val="0"/>
          <w:i/>
          <w:color w:val="221F1F"/>
          <w:sz w:val="16"/>
        </w:rPr>
        <w:t>Law of War Manual</w:t>
      </w:r>
      <w:r>
        <w:rPr>
          <w:rFonts w:ascii="Magneta" w:hAnsi="Magneta" w:eastAsia="Magneta"/>
          <w:b w:val="0"/>
          <w:i w:val="0"/>
          <w:color w:val="221F1F"/>
          <w:sz w:val="16"/>
        </w:rPr>
        <w:t>, § 17.18.2.</w:t>
      </w:r>
    </w:p>
    <w:p>
      <w:pPr>
        <w:autoSpaceDN w:val="0"/>
        <w:autoSpaceDE w:val="0"/>
        <w:widowControl/>
        <w:spacing w:line="358" w:lineRule="exact" w:before="2508" w:after="0"/>
        <w:ind w:left="0" w:right="1000" w:firstLine="0"/>
        <w:jc w:val="right"/>
      </w:pPr>
      <w:r/>
    </w:p>
    <w:p>
      <w:pPr>
        <w:autoSpaceDN w:val="0"/>
        <w:autoSpaceDE w:val="0"/>
        <w:widowControl/>
        <w:spacing w:line="160" w:lineRule="exact" w:before="290" w:after="0"/>
        <w:ind w:left="2736" w:right="2736" w:firstLine="0"/>
        <w:jc w:val="center"/>
      </w:pPr>
      <w:r/>
    </w:p>
    <w:p>
      <w:pPr>
        <w:sectPr>
          <w:pgSz w:w="10080" w:h="15200"/>
          <w:pgMar w:top="446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76"/>
        <w:ind w:left="0" w:right="0"/>
      </w:pPr>
    </w:p>
    <w:p>
      <w:pPr>
        <w:autoSpaceDN w:val="0"/>
        <w:autoSpaceDE w:val="0"/>
        <w:widowControl/>
        <w:spacing w:line="358" w:lineRule="exact" w:before="1602" w:after="0"/>
        <w:ind w:left="976" w:right="0" w:firstLine="0"/>
        <w:jc w:val="left"/>
      </w:pPr>
      <w:r/>
    </w:p>
    <w:p>
      <w:pPr>
        <w:autoSpaceDN w:val="0"/>
        <w:autoSpaceDE w:val="0"/>
        <w:widowControl/>
        <w:spacing w:line="160" w:lineRule="exact" w:before="294" w:after="0"/>
        <w:ind w:left="2736" w:right="2736" w:firstLine="0"/>
        <w:jc w:val="center"/>
      </w:pPr>
      <w:r/>
    </w:p>
    <w:sectPr w:rsidR="00FC693F" w:rsidRPr="0006063C" w:rsidSect="00034616">
      <w:pgSz w:w="10080" w:h="15200"/>
      <w:pgMar w:top="144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www.jstor.org/stable/10.2307/48631304" TargetMode="External"/><Relationship Id="rId11" Type="http://schemas.openxmlformats.org/officeDocument/2006/relationships/hyperlink" Target="https://www.jstor.org/stable/10.2307/48631304?seq=1&amp;cid=pdf-reference#references_tab_contents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