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test</w:t>
      </w:r>
    </w:p>
    <w:p>
      <w:pPr>
        <w:sectPr>
          <w:footerReference w:type="default" r:id="rId9"/>
          <w:headerReference w:type="default" r:id="rId10"/>
          <w:pgSz w:w="12240" w:h="15840"/>
          <w:pgMar w:top="1440" w:right="1440" w:bottom="1440" w:left="2160" w:header="720" w:footer="720" w:gutter="0"/>
          <w:cols w:space="720"/>
          <w:docGrid w:linePitch="360"/>
        </w:sectPr>
      </w:pPr>
    </w:p>
    <w:p>
      <w:pPr>
        <w:pStyle w:val="Heading2"/>
      </w:pPr>
      <w:r>
        <w:t>Introduction</w:t>
      </w:r>
    </w:p>
    <w:p>
      <w:pPr/>
      <w:r>
        <w:t>The regulation of evidentiary requirements in the context of cyber operations presents a dual-edged sword, offering both advantages and challenges. As nations increasingly rely on technology for covert operations, the ability to attribute cyber attacks accurately becomes paramount. This section delves into the technological advantages that more developed nations possess, the inherent challenges of attribution, and the varying evidentiary standards that govern these processes. Understanding these dynamics is crucial for policymakers and cybersecurity experts alike, as they navigate the murky waters of international cyber relations.</w:t>
      </w:r>
    </w:p>
    <w:p>
      <w:pPr/>
      <w:r>
        <w:t>Attribution, defined as the process of identifying the source of a cyber attack, involves a myriad of technical, political, and legal considerations. The complexity of cyber operations, combined with the rapid evolution of technology, necessitates a robust framework for evidentiary standards. This framework must balance the need for timely responses with the imperative of substantiating claims with credible evidence. The subsequent analysis will highlight the interplay between technological capabilities, the challenges of attribution, and the implications of varying evidentiary standards on international relations.</w:t>
      </w:r>
    </w:p>
    <w:p>
      <w:pPr>
        <w:pStyle w:val="Heading2"/>
      </w:pPr>
      <w:r>
        <w:t>Technological Advantages in Cyber Operations</w:t>
      </w:r>
    </w:p>
    <w:p>
      <w:pPr/>
      <w:r>
        <w:t>Technologically advanced nations have a distinct advantage when it comes to covert operations and attribution. As noted by Rid and Buchanan, the assumption that less developed countries are less vulnerable fails to recognize that greater technical prowess enables a government to effectively conceal its operations while also enhancing its ability to uncover the actions of others. This creates a paradox where the very capabilities that make a nation powerful also increase its responsibility and scrutiny regarding its cyber activities. (Rid e Buchanan, 2015, p. 31)</w:t>
      </w:r>
    </w:p>
    <w:p>
      <w:pPr>
        <w:pStyle w:val="Heading2"/>
      </w:pPr>
      <w:r>
        <w:t>Challenges in Attribution</w:t>
      </w:r>
    </w:p>
    <w:p>
      <w:pPr/>
      <w:r>
        <w:t>Attribution presents unique challenges that require specific expertise at various levels. Each level of the attribution process involves distinct analytical challenges and relies on specific data inputs. The process does not follow a linear path; rather, it often requires revisiting hypotheses as new information emerges. This cyclical nature complicates the attribution process, as initial indicators of compromise may lead to further questions that necessitate additional data collection. (Rid e Buchanan, 2015, p. 9)</w:t>
      </w:r>
    </w:p>
    <w:p>
      <w:pPr/>
      <w:r>
        <w:t>Moreover, attribution is not merely a technical exercise; it involves political considerations that can significantly influence the process. As Rid and Buchanan argue, the quality of attribution hinges on the skills and resources available, as well as the political stakes involved. The more severe the consequences of an incident, the greater the investment a government will make in identifying the perpetrators. This highlights the importance of organizational culture and experience in achieving high-quality attribution. (Rid e Buchanan, 2015, p. 31)</w:t>
      </w:r>
    </w:p>
    <w:p>
      <w:pPr/>
      <w:r>
        <w:t>Additionally, the notion of a structural advantage for cyber intruders is debunked by the reality that the quality of attribution depends heavily on available resources and time. A lack of resources can lead to lower quality attribution, while time constraints can further complicate the analysis, especially during high-pressure situations where rapid decisions are required. (Rid e Buchanan, 2015, p. 32)</w:t>
      </w:r>
    </w:p>
    <w:p>
      <w:pPr/>
      <w:r>
        <w:t>Public attribution also necessitates different evidentiary standards depending on the actions taken. For example, the evidentiary requirements for criminal indictments are significantly higher than those for economic sanctions, which can lead to inconsistencies in how states approach attribution and accountability. (Grotto, 2020, p. 9)</w:t>
      </w:r>
    </w:p>
    <w:p>
      <w:pPr>
        <w:pStyle w:val="Heading3"/>
      </w:pPr>
      <w:r>
        <w:t>Evidentiary Standards in Attribution</w:t>
      </w:r>
    </w:p>
    <w:p>
      <w:pPr/>
      <w:r>
        <w:t>In civil litigation, high evidentiary standards are essential for cyber damage claims. The credibility of alerts issued by governments can be undermined by perceived evidentiary inadequacies, which skeptics may exploit. This highlights the need for robust evidentiary standards that can withstand scrutiny. (Grotto, 2020, p. 9)</w:t>
      </w:r>
    </w:p>
    <w:p>
      <w:pPr/>
      <w:r>
        <w:t>Extending the discussion of evidentiary standards, the effectiveness of deterrence signals sent by states can be compromised if the signals are not credible. For deterrence strategies to be effective, they must be intelligible and credible, which requires a clear understanding of the evidentiary standards involved. (Grotto, 2020, p. 7)</w:t>
      </w:r>
    </w:p>
    <w:p>
      <w:pPr/>
      <w:r>
        <w:t>Moreover, categorizing attribution can provide a common reference for scholarly and policy debates about cyber attribution, as well as appropriate evidence standards for different types of claims. This categorization can help clarify the advisability of various proposals aimed at improving attribution practices. (Grotto, 2020, p. 3)</w:t>
      </w:r>
    </w:p>
    <w:p>
      <w:pPr/>
      <w:r>
        <w:t>However, international evidentiary standards for cyber attribution currently lack consistency. The absence of consensus on what constitutes sufficient evidence complicates efforts to build multilateral coalitions against cyber threats, as states may have differing interpretations of the evidence required for attribution. (Grotto, 2020, p. 9)</w:t>
      </w:r>
    </w:p>
    <w:p>
      <w:pPr/>
      <w:r>
        <w:t>Finally, the varying conceptions of cyber attribution reflect biases and differing evidentiary standards that can influence how states communicate their attribution claims. This highlights the need for clarity and consistency in evidentiary standards to foster trust and cooperation among states. (Grotto, 2020, p. 2)</w:t>
      </w:r>
    </w:p>
    <w:p>
      <w:pPr>
        <w:pStyle w:val="Heading4"/>
      </w:pPr>
      <w:r>
        <w:t>International and Domestic Standards</w:t>
      </w:r>
    </w:p>
    <w:p>
      <w:pPr/>
      <w:r>
        <w:t>In international armed conflicts, establishing evidence of overall control by sponsoring states is crucial for attribution. The International Criminal Court has emphasized that mere financial support or equipping an organized armed group does not suffice for internationalization of a conflict; rather, a sponsoring state must demonstrate effective control over the group's objectives. (Hill, 2019, p. 11)</w:t>
      </w:r>
    </w:p>
    <w:p>
      <w:pPr/>
      <w:r>
        <w:t>Victim states face significant challenges in attribution due to the ambiguous nature of international law. The lack of defined terms and thresholds complicates the process of determining responsibility for cyber acts, which must meet specific criteria before a proportional response can be implemented. (Hill, 2019, p. 23)</w:t>
      </w:r>
    </w:p>
    <w:p>
      <w:pPr/>
      <w:r>
        <w:t>Furthermore, international law does not provide clear evidentiary standards for attributing cyber operations. The absence of uniform rules complicates investigations and the determination of responsibility, necessitating a reliance on various sources of evidence, including forensic and circumstantial evidence. (Hill, 2019, p. 23)</w:t>
      </w:r>
    </w:p>
    <w:p>
      <w:pPr/>
      <w:r>
        <w:t>Regulating evidentiary standards may enhance the credibility of attributions and their political impact. While establishing legal requirements can complicate the attribution process, substantiated public attributions are likely to provoke stronger political effects and foster greater accountability. (Blauth e Gstrein, 2021, p. 8)</w:t>
      </w:r>
    </w:p>
    <w:p>
      <w:pPr/>
      <w:r>
        <w:t>Technical challenges further complicate the collection of evidence for attributions. The anonymity that cybercriminals can achieve makes public attribution difficult, and the forensic process can be resource-intensive and time-consuming. (Blauth e Gstrein, 2021, p. 7)</w:t>
      </w:r>
    </w:p>
    <w:p>
      <w:pPr>
        <w:pStyle w:val="Heading4"/>
      </w:pPr>
      <w:r>
        <w:t>Organizational and Political Considerations</w:t>
      </w:r>
    </w:p>
    <w:p>
      <w:pPr/>
      <w:r>
        <w:t>Creating trustworthy assessments within attribution organizations requires independent resources, which can present financial challenges. For instance, the Organization for the Prohibition of Chemical Weapons (OPCW) has managed to maintain global trust through independent laboratories, but establishing similar capabilities for cyber attribution may require significant investment and commitment from governments and the private sector. (Kuerbis et al., 2022, p. 233)</w:t>
      </w:r>
    </w:p>
    <w:p>
      <w:pPr>
        <w:pStyle w:val="Heading2"/>
      </w:pPr>
      <w:r>
        <w:t>Conclusion</w:t>
      </w:r>
    </w:p>
    <w:p>
      <w:pPr/>
      <w:r>
        <w:t>The regulation of evidentiary requirements in cyber attribution remains a critical and evolving challenge. As technological advancements continue to shape the landscape of cyber operations, the need for robust evidentiary standards becomes increasingly apparent. The interplay between technological capabilities, the challenges of attribution, and the implications of varying standards underscores the complexity of achieving accountability in cyberspace.</w:t>
      </w:r>
    </w:p>
    <w:p>
      <w:pPr/>
      <w:r>
        <w:t>Ultimately, establishing clear and consistent evidentiary standards can enhance the credibility of attributions and facilitate more effective international cooperation. As states grapple with the intricacies of cyber attribution, the development of a coherent framework for evidentiary requirements will be essential for fostering trust and ensuring responsible behavior in the cyber domain.</w:t>
      </w:r>
    </w:p>
    <w:sectPr w:rsidR="00FC693F" w:rsidRPr="0006063C" w:rsidSect="0003461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test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ind w:firstLine="720"/>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jc w:val="center"/>
    </w:pPr>
    <w:rPr>
      <w:rFonts w:ascii="Times New Roman" w:hAnsi="Times New Roman"/>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numPr>
        <w:ilvl w:val="0"/>
        <w:numId w:val="1"/>
      </w:numPr>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numPr>
        <w:ilvl w:val="1"/>
        <w:numId w:val="1"/>
      </w:numPr>
    </w:pPr>
    <w:rPr>
      <w:rFonts w:asciiTheme="majorHAnsi" w:eastAsiaTheme="majorEastAsia" w:hAnsiTheme="majorHAnsi" w:cstheme="majorBidi" w:ascii="Times New Roman" w:hAnsi="Times New Roman"/>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numPr>
        <w:ilvl w:val="2"/>
        <w:numId w:val="1"/>
      </w:numPr>
    </w:pPr>
    <w:rPr>
      <w:rFonts w:asciiTheme="majorHAnsi" w:eastAsiaTheme="majorEastAsia" w:hAnsiTheme="majorHAnsi" w:cstheme="majorBidi" w:ascii="Times New Roman" w:hAnsi="Times New Roma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numPr>
        <w:ilvl w:val="3"/>
        <w:numId w:val="1"/>
      </w:numPr>
    </w:pPr>
    <w:rPr>
      <w:rFonts w:asciiTheme="majorHAnsi" w:eastAsiaTheme="majorEastAsia" w:hAnsiTheme="majorHAnsi" w:cstheme="majorBidi" w:ascii="Times New Roman" w:hAnsi="Times New Roman"/>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numPr>
        <w:ilvl w:val="4"/>
        <w:numId w:val="1"/>
      </w:numPr>
    </w:pPr>
    <w:rPr>
      <w:rFonts w:asciiTheme="majorHAnsi" w:eastAsiaTheme="majorEastAsia" w:hAnsiTheme="majorHAnsi" w:cstheme="majorBidi" w:ascii="Times New Roman" w:hAnsi="Times New Roman"/>
      <w:b/>
      <w:color w:val="243F60" w:themeColor="accent1" w:themeShade="7F"/>
      <w:sz w:val="2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lockQuote">
    <w:name w:val="Block Quote"/>
    <w:pPr>
      <w:spacing w:line="240" w:lineRule="auto"/>
      <w:ind w:left="720"/>
      <w:jc w:val="both"/>
    </w:pPr>
    <w:rPr>
      <w:rFonts w:ascii="Times New Roman" w:hAnsi="Times New Roman"/>
      <w:sz w:val="24"/>
    </w:rPr>
  </w:style>
  <w:style w:type="paragraph" w:customStyle="1" w:styleId="References">
    <w:name w:val="References"/>
    <w:pPr>
      <w:spacing w:line="360" w:lineRule="auto" w:after="240"/>
      <w:ind w:hanging="720"/>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