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200" w:before="1600"/>
      </w:pPr>
      <w:r>
        <w:rPr>
          <w:rFonts w:ascii="Arial" w:cs="Arial" w:eastAsia="Arial" w:hAnsi="Arial"/>
          <w:b/>
          <w:bCs/>
          <w:color w:val="2A78D6"/>
          <w:sz w:val="28"/>
          <w:szCs w:val="28"/>
        </w:rPr>
        <w:t xml:space="preserve">PONUKA NA INVESTÍCIU</w:t>
      </w:r>
    </w:p>
    <w:p>
      <w:pPr>
        <w:spacing w:after="200"/>
      </w:pPr>
      <w:r>
        <w:rPr>
          <w:rFonts w:ascii="Arial" w:cs="Arial" w:eastAsia="Arial" w:hAnsi="Arial"/>
          <w:b/>
          <w:bCs/>
          <w:color w:val="1F3B73"/>
          <w:sz w:val="44"/>
          <w:szCs w:val="44"/>
        </w:rPr>
        <w:t xml:space="preserve">Areál „Stará Pekáreň“, Levočská 11, Stará Ľubovňa</w:t>
      </w:r>
    </w:p>
    <w:p>
      <w:pPr>
        <w:spacing w:after="300"/>
      </w:pPr>
      <w:r>
        <w:rPr>
          <w:rFonts w:ascii="Arial" w:cs="Arial" w:eastAsia="Arial" w:hAnsi="Arial"/>
          <w:color w:val="1F3B73"/>
          <w:sz w:val="28"/>
          <w:szCs w:val="28"/>
        </w:rPr>
        <w:t xml:space="preserve">Predaj pozemku 10 789 m² pre nákupné centrum Merkury Market a výstavba na kľúč</w:t>
      </w:r>
    </w:p>
    <w:p>
      <w:pPr>
        <w:pBdr>
          <w:bottom w:val="single" w:color="2A78D6" w:sz="12" w:space="8"/>
        </w:pBdr>
        <w:spacing w:after="100"/>
      </w:pPr>
      <w:r>
        <w:rPr>
          <w:rFonts w:ascii="Arial" w:cs="Arial" w:eastAsia="Arial" w:hAnsi="Arial"/>
        </w:rPr>
        <w:t xml:space="preserve"/>
      </w:r>
    </w:p>
    <w:p>
      <w:pPr>
        <w:spacing w:after="60" w:before="40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Pre:</w:t>
      </w:r>
    </w:p>
    <w:p>
      <w:pPr>
        <w:spacing w:after="40"/>
      </w:pPr>
      <w:r>
        <w:rPr>
          <w:rFonts w:ascii="Arial" w:cs="Arial" w:eastAsia="Arial" w:hAnsi="Arial"/>
          <w:sz w:val="22"/>
          <w:szCs w:val="22"/>
        </w:rPr>
        <w:t xml:space="preserve">Merkury Market Spółka z ograniczoną odpowiedzialnością Sp.k., Krosno, Poľsko</w:t>
      </w:r>
    </w:p>
    <w:p>
      <w:pPr>
        <w:spacing w:after="300"/>
      </w:pPr>
      <w:r>
        <w:rPr>
          <w:rFonts w:ascii="Arial" w:cs="Arial" w:eastAsia="Arial" w:hAnsi="Arial"/>
          <w:sz w:val="22"/>
          <w:szCs w:val="22"/>
        </w:rPr>
        <w:t xml:space="preserve">Marcin Oleksy, Manager ds. ekspansji, tel. +48 605 667 609</w:t>
      </w:r>
    </w:p>
    <w:p>
      <w:pPr>
        <w:spacing w:after="6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Predkladá:</w:t>
      </w:r>
    </w:p>
    <w:p>
      <w:pPr>
        <w:spacing w:after="40"/>
      </w:pPr>
      <w:r>
        <w:rPr>
          <w:rFonts w:ascii="Arial" w:cs="Arial" w:eastAsia="Arial" w:hAnsi="Arial"/>
          <w:sz w:val="22"/>
          <w:szCs w:val="22"/>
        </w:rPr>
        <w:t xml:space="preserve">BauHausEurope s. r. o., Konventná 9, 811 03 Bratislava, Slovenská republika</w:t>
      </w:r>
    </w:p>
    <w:p>
      <w:pPr>
        <w:spacing w:after="300"/>
      </w:pPr>
      <w:r>
        <w:rPr>
          <w:rFonts w:ascii="Arial" w:cs="Arial" w:eastAsia="Arial" w:hAnsi="Arial"/>
          <w:sz w:val="22"/>
          <w:szCs w:val="22"/>
        </w:rPr>
        <w:t xml:space="preserve">IČO 47 420 171  |  Bc. Ľubomír Kruk, konateľ  |  info@bauhauseurope.de  |  +421 904 027 703</w:t>
      </w:r>
    </w:p>
    <w:p>
      <w:pPr>
        <w:spacing w:after="60"/>
      </w:pPr>
      <w:r>
        <w:rPr>
          <w:rFonts w:ascii="Arial" w:cs="Arial" w:eastAsia="Arial" w:hAnsi="Arial"/>
          <w:sz w:val="22"/>
          <w:szCs w:val="22"/>
        </w:rPr>
        <w:t xml:space="preserve">Bratislava, 29. 10. 2026</w:t>
      </w:r>
    </w:p>
    <w:p>
      <w:pPr>
        <w:keepNext/>
        <w:spacing w:after="60" w:before="120"/>
        <w:jc w:val="center"/>
      </w:pPr>
      <w:r>
        <w:drawing>
          <wp:inline distT="0" distB="0" distL="0" distR="0">
            <wp:extent cx="5334000" cy="36195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619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60" w:before="200"/>
      </w:pPr>
      <w:r>
        <w:rPr>
          <w:rFonts w:ascii="Arial" w:cs="Arial" w:eastAsia="Arial" w:hAnsi="Arial"/>
          <w:i/>
          <w:iCs/>
          <w:color w:val="52514E"/>
          <w:sz w:val="17"/>
          <w:szCs w:val="17"/>
        </w:rPr>
        <w:t xml:space="preserve">Dôverné – určené výlučne pre adresáta. Ponuka je nezáväzná a slúži ako podklad na rokovanie.</w:t>
      </w:r>
    </w:p>
    <w:p>
      <w:r>
        <w:br w:type="page"/>
      </w:r>
    </w:p>
    <w:p>
      <w:pPr>
        <w:pStyle w:val="Heading1"/>
        <w:spacing w:after="160" w:before="360"/>
      </w:pPr>
      <w:r>
        <w:rPr>
          <w:rFonts w:ascii="Arial" w:cs="Arial" w:eastAsia="Arial" w:hAnsi="Arial"/>
          <w:b/>
          <w:bCs/>
          <w:color w:val="1F3B73"/>
          <w:sz w:val="30"/>
          <w:szCs w:val="30"/>
        </w:rPr>
        <w:t xml:space="preserve">1. Zhrnutie ponuky</w:t>
      </w:r>
    </w:p>
    <w:p>
      <w:pPr>
        <w:spacing w:after="120" w:line="276"/>
        <w:jc w:val="both"/>
      </w:pPr>
      <w:r>
        <w:rPr>
          <w:rFonts w:ascii="Arial" w:cs="Arial" w:eastAsia="Arial" w:hAnsi="Arial"/>
          <w:sz w:val="21"/>
          <w:szCs w:val="21"/>
        </w:rPr>
        <w:t xml:space="preserve">BauHausEurope s. r. o. je výlučným vlastníkom uzavretého areálu bývalej pekárne na Levočskej ulici v Starej Ľubovni s celkovou výmerou 10 789 m². Areál leží na hlavnom vjazde do mesta od Prešova a Popradu, pri rieke Jakubianka a oproti Ľubovnianskej nemocnici, s kompletnými inžinierskymi sieťami a vlastnou trafostanicou. Spoločnosti Merkury Market ponúkame tento areál ako lokalitu pre nové nákupné centrum v okresnom meste, v ktorom tento formát predajne zatiaľ chýba. Areál bol v roku 2024 ocenený znaleckým posudkom na 1 850 000 €.</w:t>
      </w:r>
    </w:p>
    <w:p>
      <w:pPr>
        <w:spacing w:after="120" w:line="276"/>
        <w:jc w:val="both"/>
      </w:pPr>
      <w:r>
        <w:rPr>
          <w:rFonts w:ascii="Arial" w:cs="Arial" w:eastAsia="Arial" w:hAnsi="Arial"/>
          <w:sz w:val="21"/>
          <w:szCs w:val="21"/>
        </w:rPr>
        <w:t xml:space="preserve">Ponuka má tri časti: predaj areálu je základom, výstavba a príprava sú voliteľné služby, ktoré Merkury Market objedná a hradí ako investor:</w:t>
      </w:r>
    </w:p>
    <w:p>
      <w:pPr>
        <w:pStyle w:val="ListParagraph"/>
        <w:numPr>
          <w:ilvl w:val="0"/>
          <w:numId w:val="2"/>
        </w:numPr>
        <w:spacing w:after="80" w:line="276"/>
        <w:jc w:val="both"/>
      </w:pPr>
      <w:r>
        <w:rPr>
          <w:rFonts w:ascii="Arial" w:cs="Arial" w:eastAsia="Arial" w:hAnsi="Arial"/>
          <w:b/>
          <w:bCs/>
          <w:sz w:val="21"/>
          <w:szCs w:val="21"/>
        </w:rPr>
        <w:t xml:space="preserve">A – Predaj areálu: </w:t>
      </w:r>
      <w:r>
        <w:rPr>
          <w:rFonts w:ascii="Arial" w:cs="Arial" w:eastAsia="Arial" w:hAnsi="Arial"/>
          <w:sz w:val="21"/>
          <w:szCs w:val="21"/>
        </w:rPr>
        <w:t xml:space="preserve">kúpa pozemku so stavbami (10 789 m²) do výlučného vlastníctva Merkury Market.</w:t>
      </w:r>
    </w:p>
    <w:p>
      <w:pPr>
        <w:pStyle w:val="ListParagraph"/>
        <w:numPr>
          <w:ilvl w:val="0"/>
          <w:numId w:val="2"/>
        </w:numPr>
        <w:spacing w:after="80" w:line="276"/>
        <w:jc w:val="both"/>
      </w:pPr>
      <w:r>
        <w:rPr>
          <w:rFonts w:ascii="Arial" w:cs="Arial" w:eastAsia="Arial" w:hAnsi="Arial"/>
          <w:b/>
          <w:bCs/>
          <w:sz w:val="21"/>
          <w:szCs w:val="21"/>
        </w:rPr>
        <w:t xml:space="preserve">B – Výstavba na kľúč: </w:t>
      </w:r>
      <w:r>
        <w:rPr>
          <w:rFonts w:ascii="Arial" w:cs="Arial" w:eastAsia="Arial" w:hAnsi="Arial"/>
          <w:sz w:val="21"/>
          <w:szCs w:val="21"/>
        </w:rPr>
        <w:t xml:space="preserve">po predaji areálu BauHausEurope ako generálny zhotoviteľ na náklady investora Merkury Market zabezpečí demoláciu vlastnou technikou (vrátane drviča betónu), zemné práce, výstavbu predajne, parkoviska a sietí – na základe zmluvy o dielo s pevnou cenou a termínom.</w:t>
      </w:r>
    </w:p>
    <w:p>
      <w:pPr>
        <w:pStyle w:val="ListParagraph"/>
        <w:numPr>
          <w:ilvl w:val="0"/>
          <w:numId w:val="2"/>
        </w:numPr>
        <w:spacing w:after="80" w:line="276"/>
        <w:jc w:val="both"/>
      </w:pPr>
      <w:r>
        <w:rPr>
          <w:rFonts w:ascii="Arial" w:cs="Arial" w:eastAsia="Arial" w:hAnsi="Arial"/>
          <w:b/>
          <w:bCs/>
          <w:sz w:val="21"/>
          <w:szCs w:val="21"/>
        </w:rPr>
        <w:t xml:space="preserve">C – Povolenia a príprava: </w:t>
      </w:r>
      <w:r>
        <w:rPr>
          <w:rFonts w:ascii="Arial" w:cs="Arial" w:eastAsia="Arial" w:hAnsi="Arial"/>
          <w:sz w:val="21"/>
          <w:szCs w:val="21"/>
        </w:rPr>
        <w:t xml:space="preserve">projektové riadenie, výber architekta, územné a stavebné konanie a komunikácia s mestom, kde máme dlhodobo dobré vzťahy vrátane vedenia mesta.</w:t>
      </w:r>
    </w:p>
    <w:p>
      <w:pPr>
        <w:pStyle w:val="Heading1"/>
        <w:spacing w:after="160" w:before="360"/>
      </w:pPr>
      <w:r>
        <w:rPr>
          <w:rFonts w:ascii="Arial" w:cs="Arial" w:eastAsia="Arial" w:hAnsi="Arial"/>
          <w:b/>
          <w:bCs/>
          <w:color w:val="1F3B73"/>
          <w:sz w:val="30"/>
          <w:szCs w:val="30"/>
        </w:rPr>
        <w:t xml:space="preserve">2. Nehnuteľnosť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891"/>
        <w:gridCol w:w="6747"/>
      </w:tblGrid>
      <w:tr>
        <w:trPr>
          <w:cantSplit/>
          <w:tblHeader/>
        </w:trPr>
        <w:tc>
          <w:tcPr>
            <w:tcW w:type="dxa" w:w="2891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1F3B73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Údaj</w:t>
            </w:r>
          </w:p>
        </w:tc>
        <w:tc>
          <w:tcPr>
            <w:tcW w:type="dxa" w:w="6747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1F3B73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Hodnota</w:t>
            </w:r>
          </w:p>
        </w:tc>
      </w:tr>
      <w:tr>
        <w:trPr>
          <w:cantSplit/>
          <w:tblHeader w:val="false"/>
        </w:trPr>
        <w:tc>
          <w:tcPr>
            <w:tcW w:type="dxa" w:w="2891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9"/>
                <w:szCs w:val="19"/>
              </w:rPr>
              <w:t xml:space="preserve">Adresa</w:t>
            </w:r>
          </w:p>
        </w:tc>
        <w:tc>
          <w:tcPr>
            <w:tcW w:type="dxa" w:w="6747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9"/>
                <w:szCs w:val="19"/>
              </w:rPr>
              <w:t xml:space="preserve">Levočská 345/11, 064 01 Stará Ľubovňa, Slovenská republika (GPS 49.295794, 20.690312)</w:t>
            </w:r>
          </w:p>
        </w:tc>
      </w:tr>
      <w:tr>
        <w:trPr>
          <w:cantSplit/>
          <w:tblHeader w:val="false"/>
        </w:trPr>
        <w:tc>
          <w:tcPr>
            <w:tcW w:type="dxa" w:w="2891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9"/>
                <w:szCs w:val="19"/>
              </w:rPr>
              <w:t xml:space="preserve">Vlastník</w:t>
            </w:r>
          </w:p>
        </w:tc>
        <w:tc>
          <w:tcPr>
            <w:tcW w:type="dxa" w:w="6747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9"/>
                <w:szCs w:val="19"/>
              </w:rPr>
              <w:t xml:space="preserve">BauHausEurope s. r. o., podiel 1/1 (LV č. 1382, k. ú. Stará Ľubovňa), nadobudnuté kúpnou zmluvou v roku 2022</w:t>
            </w:r>
          </w:p>
        </w:tc>
      </w:tr>
      <w:tr>
        <w:trPr>
          <w:cantSplit/>
          <w:tblHeader w:val="false"/>
        </w:trPr>
        <w:tc>
          <w:tcPr>
            <w:tcW w:type="dxa" w:w="2891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9"/>
                <w:szCs w:val="19"/>
              </w:rPr>
              <w:t xml:space="preserve">Pozemky</w:t>
            </w:r>
          </w:p>
        </w:tc>
        <w:tc>
          <w:tcPr>
            <w:tcW w:type="dxa" w:w="6747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9"/>
                <w:szCs w:val="19"/>
              </w:rPr>
              <w:t xml:space="preserve">parc. KN-C č. 775/1 (7 415 m²), 775/2 (2 608 m²), 775/3 (598 m²), 775/4 (111 m²), 775/5 (57 m²); spolu 10 789 m² podľa LV č. 1382 (ZBGIS eviduje parcelu 775/1 s výmerou 7 389 m²), druh: zastavané plochy a nádvoria</w:t>
            </w:r>
          </w:p>
        </w:tc>
      </w:tr>
      <w:tr>
        <w:trPr>
          <w:cantSplit/>
          <w:tblHeader w:val="false"/>
        </w:trPr>
        <w:tc>
          <w:tcPr>
            <w:tcW w:type="dxa" w:w="2891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9"/>
                <w:szCs w:val="19"/>
              </w:rPr>
              <w:t xml:space="preserve">Stavby v areáli</w:t>
            </w:r>
          </w:p>
        </w:tc>
        <w:tc>
          <w:tcPr>
            <w:tcW w:type="dxa" w:w="6747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9"/>
                <w:szCs w:val="19"/>
              </w:rPr>
              <w:t xml:space="preserve">trojpodlažná administratívna budova (súp. č. 345), prízemná výrobná hala (zastavaná plocha 1 696 m²), štvorpodlažná výrobná a skladová budova, garáže, kotolňa, olejové hospodárstvo, trafostanica; spolu cca 3 190 m² zastavanej plochy; objekty z rokov 1986 – 1992 sú určené na demoláciu alebo čiastočné využitie</w:t>
            </w:r>
          </w:p>
        </w:tc>
      </w:tr>
      <w:tr>
        <w:trPr>
          <w:cantSplit/>
          <w:tblHeader w:val="false"/>
        </w:trPr>
        <w:tc>
          <w:tcPr>
            <w:tcW w:type="dxa" w:w="2891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9"/>
                <w:szCs w:val="19"/>
              </w:rPr>
              <w:t xml:space="preserve">Inžinierske siete</w:t>
            </w:r>
          </w:p>
        </w:tc>
        <w:tc>
          <w:tcPr>
            <w:tcW w:type="dxa" w:w="6747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9"/>
                <w:szCs w:val="19"/>
              </w:rPr>
              <w:t xml:space="preserve">vlastná prípojka vody, splašková a dažďová kanalizácia, plynová prípojka, elektrická prípojka a vlastná trafostanica; spevnené betónové plochy, oplotenie areálu</w:t>
            </w:r>
          </w:p>
        </w:tc>
      </w:tr>
      <w:tr>
        <w:trPr>
          <w:cantSplit/>
          <w:tblHeader w:val="false"/>
        </w:trPr>
        <w:tc>
          <w:tcPr>
            <w:tcW w:type="dxa" w:w="2891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9"/>
                <w:szCs w:val="19"/>
              </w:rPr>
              <w:t xml:space="preserve">Prístup</w:t>
            </w:r>
          </w:p>
        </w:tc>
        <w:tc>
          <w:tcPr>
            <w:tcW w:type="dxa" w:w="6747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9"/>
                <w:szCs w:val="19"/>
              </w:rPr>
              <w:t xml:space="preserve">priamo z Levočskej ulice (cesta III/3146 v meste, nadväzuje na cestu I/68 Prešov – Stará Ľubovňa – Poľsko); existujúci vjazd z južnej strany; terén mierne svahovitý, prevýšenie cca 5,9 m naprieč pozemkom</w:t>
            </w:r>
          </w:p>
        </w:tc>
      </w:tr>
      <w:tr>
        <w:trPr>
          <w:cantSplit/>
          <w:tblHeader w:val="false"/>
        </w:trPr>
        <w:tc>
          <w:tcPr>
            <w:tcW w:type="dxa" w:w="2891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9"/>
                <w:szCs w:val="19"/>
              </w:rPr>
              <w:t xml:space="preserve">Územné plánovanie</w:t>
            </w:r>
          </w:p>
        </w:tc>
        <w:tc>
          <w:tcPr>
            <w:tcW w:type="dxa" w:w="6747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9"/>
                <w:szCs w:val="19"/>
              </w:rPr>
              <w:t xml:space="preserve">urbanistický obvod V06; polyfunkčná plocha pre obytnú zástavbu bytových domov a občianskej vybavenosti (ÚPI mesta č. MsÚ-SL-151/195/2025 z 9. 1. 2026); max. 8 NP, zastavanosť do 50 %, zeleň min. 20 % – viď časť 4</w:t>
            </w:r>
          </w:p>
        </w:tc>
      </w:tr>
      <w:tr>
        <w:trPr>
          <w:cantSplit/>
          <w:tblHeader w:val="false"/>
        </w:trPr>
        <w:tc>
          <w:tcPr>
            <w:tcW w:type="dxa" w:w="2891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9"/>
                <w:szCs w:val="19"/>
              </w:rPr>
              <w:t xml:space="preserve">Súčasné využitie</w:t>
            </w:r>
          </w:p>
        </w:tc>
        <w:tc>
          <w:tcPr>
            <w:tcW w:type="dxa" w:w="6747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9"/>
                <w:szCs w:val="19"/>
              </w:rPr>
              <w:t xml:space="preserve">skladové a obchodné prevádzky v nájme; areál je možné odovzdať bez nájomcov</w:t>
            </w:r>
          </w:p>
        </w:tc>
      </w:tr>
      <w:tr>
        <w:trPr>
          <w:cantSplit/>
          <w:tblHeader w:val="false"/>
        </w:trPr>
        <w:tc>
          <w:tcPr>
            <w:tcW w:type="dxa" w:w="2891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9"/>
                <w:szCs w:val="19"/>
              </w:rPr>
              <w:t xml:space="preserve">Právny stav</w:t>
            </w:r>
          </w:p>
        </w:tc>
        <w:tc>
          <w:tcPr>
            <w:tcW w:type="dxa" w:w="6747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9"/>
                <w:szCs w:val="19"/>
              </w:rPr>
              <w:t xml:space="preserve">bez vecných bremien; záložné právo financujúcej banky bude vyrovnané z kúpnej ceny pri prevode</w:t>
            </w:r>
          </w:p>
        </w:tc>
      </w:tr>
      <w:tr>
        <w:trPr>
          <w:cantSplit/>
          <w:tblHeader w:val="false"/>
        </w:trPr>
        <w:tc>
          <w:tcPr>
            <w:tcW w:type="dxa" w:w="2891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9"/>
                <w:szCs w:val="19"/>
              </w:rPr>
              <w:t xml:space="preserve">Podklady k dispozícii</w:t>
            </w:r>
          </w:p>
        </w:tc>
        <w:tc>
          <w:tcPr>
            <w:tcW w:type="dxa" w:w="6747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9"/>
                <w:szCs w:val="19"/>
              </w:rPr>
              <w:t xml:space="preserve">znalecký posudok č. 87/2024, výpis z LV a katastrálna mapa, geodetické zameranie, územnoplánovacia informácia mesta č. MsÚ-SL-151/195/2025 (9. 1. 2026), inžiniersko-geologický a hydrogeologický prieskum (vykonaný, podložie vyhovujúce pre výstavbu), projektová dokumentácia pôvodných objektov, stavebné povolenie a kolaudačné rozhodnutie</w:t>
            </w:r>
          </w:p>
        </w:tc>
      </w:tr>
    </w:tbl>
    <w:p>
      <w:pPr>
        <w:spacing w:after="120"/>
      </w:pPr>
    </w:p>
    <w:p>
      <w:pPr>
        <w:keepNext/>
        <w:spacing w:after="60" w:before="120"/>
        <w:jc w:val="center"/>
      </w:pPr>
      <w:r>
        <w:drawing>
          <wp:inline distT="0" distB="0" distL="0" distR="0">
            <wp:extent cx="5715000" cy="36766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36766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 w:before="60"/>
        <w:jc w:val="center"/>
      </w:pPr>
      <w:r>
        <w:rPr>
          <w:rFonts w:ascii="Arial" w:cs="Arial" w:eastAsia="Arial" w:hAnsi="Arial"/>
          <w:i/>
          <w:iCs/>
          <w:color w:val="52514E"/>
          <w:sz w:val="17"/>
          <w:szCs w:val="17"/>
        </w:rPr>
        <w:t xml:space="preserve">Obrázok 1 – Satelitná snímka: poloha areálu (červený bod) v južnej časti Starej Ľubovne pri Levočskej ulici (ortofoto GKÚ/NLC, Esri World Imagery)</w:t>
      </w:r>
    </w:p>
    <w:p>
      <w:pPr>
        <w:keepNext/>
        <w:spacing w:after="60" w:before="120"/>
        <w:jc w:val="center"/>
      </w:pPr>
      <w:r>
        <w:drawing>
          <wp:inline distT="0" distB="0" distL="0" distR="0">
            <wp:extent cx="5715000" cy="38766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38766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 w:before="60"/>
        <w:jc w:val="center"/>
      </w:pPr>
      <w:r>
        <w:rPr>
          <w:rFonts w:ascii="Arial" w:cs="Arial" w:eastAsia="Arial" w:hAnsi="Arial"/>
          <w:i/>
          <w:iCs/>
          <w:color w:val="52514E"/>
          <w:sz w:val="17"/>
          <w:szCs w:val="17"/>
        </w:rPr>
        <w:t xml:space="preserve">Obrázok 2 – Satelitná snímka areálu: výrobná hala, administratívna budova, skladové objekty a spevnené plochy medzi Levočskou ulicou a riekou Jakubianka</w:t>
      </w:r>
    </w:p>
    <w:p>
      <w:pPr>
        <w:keepNext/>
        <w:spacing w:after="60" w:before="120"/>
        <w:jc w:val="center"/>
      </w:pPr>
      <w:r>
        <w:drawing>
          <wp:inline distT="0" distB="0" distL="0" distR="0">
            <wp:extent cx="5715000" cy="41814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2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41814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 w:before="60"/>
        <w:jc w:val="center"/>
      </w:pPr>
      <w:r>
        <w:rPr>
          <w:rFonts w:ascii="Arial" w:cs="Arial" w:eastAsia="Arial" w:hAnsi="Arial"/>
          <w:i/>
          <w:iCs/>
          <w:color w:val="52514E"/>
          <w:sz w:val="17"/>
          <w:szCs w:val="17"/>
        </w:rPr>
        <w:t xml:space="preserve">Obrázok 3 – Hranice areálu podľa katastrálnej mapy: parcely 775/1 (7 389 m² podľa ZBGIS), 775/2, 775/3, 775/4 a 775/5, vlastník BauHausEurope s. r. o., podiel 1/1 (ZBGIS, ortofoto GKÚ/NLC)</w:t>
      </w:r>
    </w:p>
    <w:p>
      <w:pPr>
        <w:keepNext/>
        <w:spacing w:after="60" w:before="120"/>
        <w:jc w:val="center"/>
      </w:pPr>
      <w:r>
        <w:drawing>
          <wp:inline distT="0" distB="0" distL="0" distR="0">
            <wp:extent cx="5334000" cy="34290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3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429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 w:before="60"/>
        <w:jc w:val="center"/>
      </w:pPr>
      <w:r>
        <w:rPr>
          <w:rFonts w:ascii="Arial" w:cs="Arial" w:eastAsia="Arial" w:hAnsi="Arial"/>
          <w:i/>
          <w:iCs/>
          <w:color w:val="52514E"/>
          <w:sz w:val="17"/>
          <w:szCs w:val="17"/>
        </w:rPr>
        <w:t xml:space="preserve">Obrázok 4 – Poloha areálu v mape mesta (OpenStreetMap)</w:t>
      </w:r>
    </w:p>
    <w:p>
      <w:pPr>
        <w:keepNext/>
        <w:spacing w:after="60" w:before="120"/>
        <w:jc w:val="center"/>
      </w:pPr>
      <w:r>
        <w:drawing>
          <wp:inline distT="0" distB="0" distL="0" distR="0">
            <wp:extent cx="5334000" cy="34290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4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429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 w:before="60"/>
        <w:jc w:val="center"/>
      </w:pPr>
      <w:r>
        <w:rPr>
          <w:rFonts w:ascii="Arial" w:cs="Arial" w:eastAsia="Arial" w:hAnsi="Arial"/>
          <w:i/>
          <w:iCs/>
          <w:color w:val="52514E"/>
          <w:sz w:val="17"/>
          <w:szCs w:val="17"/>
        </w:rPr>
        <w:t xml:space="preserve">Obrázok 5 – Širšie vzťahy: Stará Ľubovňa na ceste I/68 medzi Prešovom a poľskou hranicou (OpenStreetMap)</w:t>
      </w:r>
    </w:p>
    <w:p>
      <w:pPr>
        <w:pStyle w:val="Heading1"/>
        <w:spacing w:after="160" w:before="360"/>
      </w:pPr>
      <w:r>
        <w:rPr>
          <w:rFonts w:ascii="Arial" w:cs="Arial" w:eastAsia="Arial" w:hAnsi="Arial"/>
          <w:b/>
          <w:bCs/>
          <w:color w:val="1F3B73"/>
          <w:sz w:val="30"/>
          <w:szCs w:val="30"/>
        </w:rPr>
        <w:t xml:space="preserve">3. Údaje zo znaleckého posudku</w:t>
      </w:r>
    </w:p>
    <w:p>
      <w:pPr>
        <w:spacing w:after="120" w:line="276"/>
        <w:jc w:val="both"/>
      </w:pPr>
      <w:r>
        <w:rPr>
          <w:rFonts w:ascii="Arial" w:cs="Arial" w:eastAsia="Arial" w:hAnsi="Arial"/>
          <w:sz w:val="21"/>
          <w:szCs w:val="21"/>
        </w:rPr>
        <w:t xml:space="preserve">Nehnuteľnosť bola ocenená znaleckým posudkom č. 87/2024 (Ing. Peter Repčák, znalec v odbore stavebníctvo, odvetvie odhad hodnoty nehnuteľností, 22. 7. 2024). Posudok vychádza z obhliadky a zamerania zo 4. 7. 2024, výpisu z LV č. 1382 a kópie katastrálnej mapy. Pôvodná pekáreň bola postavená v roku 1953, areál bol komplexne prestavaný podľa stavebného povolenia z roku 1984 (projekt Potravinoprojekt Bratislava) a skolaudovaný v roku 1992; objekty sú v užívaní od roku 1989.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276"/>
        <w:gridCol w:w="1349"/>
        <w:gridCol w:w="1349"/>
        <w:gridCol w:w="963"/>
        <w:gridCol w:w="1542"/>
        <w:gridCol w:w="1159"/>
      </w:tblGrid>
      <w:tr>
        <w:trPr>
          <w:cantSplit/>
          <w:tblHeader/>
        </w:trPr>
        <w:tc>
          <w:tcPr>
            <w:tcW w:type="dxa" w:w="3276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1F3B73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7"/>
                <w:szCs w:val="17"/>
              </w:rPr>
              <w:t xml:space="preserve">Objekt</w:t>
            </w:r>
          </w:p>
        </w:tc>
        <w:tc>
          <w:tcPr>
            <w:tcW w:type="dxa" w:w="1349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1F3B73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right"/>
            </w:pPr>
            <w:r>
              <w:rPr>
                <w:rFonts w:ascii="Arial" w:cs="Arial" w:eastAsia="Arial" w:hAnsi="Arial"/>
                <w:b/>
                <w:bCs/>
                <w:color w:val="FFFFFF"/>
                <w:sz w:val="17"/>
                <w:szCs w:val="17"/>
              </w:rPr>
              <w:t xml:space="preserve">Obostavaný priestor (m³)</w:t>
            </w:r>
          </w:p>
        </w:tc>
        <w:tc>
          <w:tcPr>
            <w:tcW w:type="dxa" w:w="1349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1F3B73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right"/>
            </w:pPr>
            <w:r>
              <w:rPr>
                <w:rFonts w:ascii="Arial" w:cs="Arial" w:eastAsia="Arial" w:hAnsi="Arial"/>
                <w:b/>
                <w:bCs/>
                <w:color w:val="FFFFFF"/>
                <w:sz w:val="17"/>
                <w:szCs w:val="17"/>
              </w:rPr>
              <w:t xml:space="preserve">Zastavaná plocha (m²)</w:t>
            </w:r>
          </w:p>
        </w:tc>
        <w:tc>
          <w:tcPr>
            <w:tcW w:type="dxa" w:w="963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1F3B73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7"/>
                <w:szCs w:val="17"/>
              </w:rPr>
              <w:t xml:space="preserve">Podlažia</w:t>
            </w:r>
          </w:p>
        </w:tc>
        <w:tc>
          <w:tcPr>
            <w:tcW w:type="dxa" w:w="1542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1F3B73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right"/>
            </w:pPr>
            <w:r>
              <w:rPr>
                <w:rFonts w:ascii="Arial" w:cs="Arial" w:eastAsia="Arial" w:hAnsi="Arial"/>
                <w:b/>
                <w:bCs/>
                <w:color w:val="FFFFFF"/>
                <w:sz w:val="17"/>
                <w:szCs w:val="17"/>
              </w:rPr>
              <w:t xml:space="preserve">Konštrukcia</w:t>
            </w:r>
          </w:p>
        </w:tc>
        <w:tc>
          <w:tcPr>
            <w:tcW w:type="dxa" w:w="1159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1F3B73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right"/>
            </w:pPr>
            <w:r>
              <w:rPr>
                <w:rFonts w:ascii="Arial" w:cs="Arial" w:eastAsia="Arial" w:hAnsi="Arial"/>
                <w:b/>
                <w:bCs/>
                <w:color w:val="FFFFFF"/>
                <w:sz w:val="17"/>
                <w:szCs w:val="17"/>
              </w:rPr>
              <w:t xml:space="preserve">Všeobecná hodnota (€)</w:t>
            </w:r>
          </w:p>
        </w:tc>
      </w:tr>
      <w:tr>
        <w:trPr>
          <w:cantSplit/>
          <w:tblHeader w:val="false"/>
        </w:trPr>
        <w:tc>
          <w:tcPr>
            <w:tcW w:type="dxa" w:w="3276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7"/>
                <w:szCs w:val="17"/>
              </w:rPr>
              <w:t xml:space="preserve">Administratívna budova (trojpodlažná časť, súp. č. 345)</w:t>
            </w:r>
          </w:p>
        </w:tc>
        <w:tc>
          <w:tcPr>
            <w:tcW w:type="dxa" w:w="1349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7"/>
                <w:szCs w:val="17"/>
              </w:rPr>
              <w:t xml:space="preserve">3 893,62</w:t>
            </w:r>
          </w:p>
        </w:tc>
        <w:tc>
          <w:tcPr>
            <w:tcW w:type="dxa" w:w="1349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7"/>
                <w:szCs w:val="17"/>
              </w:rPr>
              <w:t xml:space="preserve">404,21</w:t>
            </w:r>
          </w:p>
        </w:tc>
        <w:tc>
          <w:tcPr>
            <w:tcW w:type="dxa" w:w="963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7"/>
                <w:szCs w:val="17"/>
              </w:rPr>
              <w:t xml:space="preserve">3</w:t>
            </w:r>
          </w:p>
        </w:tc>
        <w:tc>
          <w:tcPr>
            <w:tcW w:type="dxa" w:w="1542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7"/>
                <w:szCs w:val="17"/>
              </w:rPr>
              <w:t xml:space="preserve">ŽB montovaný skelet, siporexové panely, plochá strecha; prízemie zrekonštruované, nové plastové okná</w:t>
            </w:r>
          </w:p>
        </w:tc>
        <w:tc>
          <w:tcPr>
            <w:tcW w:type="dxa" w:w="1159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7"/>
                <w:szCs w:val="17"/>
              </w:rPr>
              <w:t xml:space="preserve">326 171,99</w:t>
            </w:r>
          </w:p>
        </w:tc>
      </w:tr>
      <w:tr>
        <w:trPr>
          <w:cantSplit/>
          <w:tblHeader w:val="false"/>
        </w:trPr>
        <w:tc>
          <w:tcPr>
            <w:tcW w:type="dxa" w:w="3276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7"/>
                <w:szCs w:val="17"/>
              </w:rPr>
              <w:t xml:space="preserve">Výrobná hala (prízemná časť)</w:t>
            </w:r>
          </w:p>
        </w:tc>
        <w:tc>
          <w:tcPr>
            <w:tcW w:type="dxa" w:w="1349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7"/>
                <w:szCs w:val="17"/>
              </w:rPr>
              <w:t xml:space="preserve">13 050,14</w:t>
            </w:r>
          </w:p>
        </w:tc>
        <w:tc>
          <w:tcPr>
            <w:tcW w:type="dxa" w:w="1349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7"/>
                <w:szCs w:val="17"/>
              </w:rPr>
              <w:t xml:space="preserve">1 696,14</w:t>
            </w:r>
          </w:p>
        </w:tc>
        <w:tc>
          <w:tcPr>
            <w:tcW w:type="dxa" w:w="963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7"/>
                <w:szCs w:val="17"/>
              </w:rPr>
              <w:t xml:space="preserve">1</w:t>
            </w:r>
          </w:p>
        </w:tc>
        <w:tc>
          <w:tcPr>
            <w:tcW w:type="dxa" w:w="1542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7"/>
                <w:szCs w:val="17"/>
              </w:rPr>
              <w:t xml:space="preserve">ŽB montovaný skelet, plochá strecha, areálové siete</w:t>
            </w:r>
          </w:p>
        </w:tc>
        <w:tc>
          <w:tcPr>
            <w:tcW w:type="dxa" w:w="1159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7"/>
                <w:szCs w:val="17"/>
              </w:rPr>
              <w:t xml:space="preserve">428 170,32</w:t>
            </w:r>
          </w:p>
        </w:tc>
      </w:tr>
      <w:tr>
        <w:trPr>
          <w:cantSplit/>
          <w:tblHeader w:val="false"/>
        </w:trPr>
        <w:tc>
          <w:tcPr>
            <w:tcW w:type="dxa" w:w="3276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7"/>
                <w:szCs w:val="17"/>
              </w:rPr>
              <w:t xml:space="preserve">Výrobná a skladová budova (štvorpodlažná časť)</w:t>
            </w:r>
          </w:p>
        </w:tc>
        <w:tc>
          <w:tcPr>
            <w:tcW w:type="dxa" w:w="1349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7"/>
                <w:szCs w:val="17"/>
              </w:rPr>
              <w:t xml:space="preserve">5 655,36</w:t>
            </w:r>
          </w:p>
        </w:tc>
        <w:tc>
          <w:tcPr>
            <w:tcW w:type="dxa" w:w="1349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7"/>
                <w:szCs w:val="17"/>
              </w:rPr>
              <w:t xml:space="preserve">327,50</w:t>
            </w:r>
          </w:p>
        </w:tc>
        <w:tc>
          <w:tcPr>
            <w:tcW w:type="dxa" w:w="963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7"/>
                <w:szCs w:val="17"/>
              </w:rPr>
              <w:t xml:space="preserve">4</w:t>
            </w:r>
          </w:p>
        </w:tc>
        <w:tc>
          <w:tcPr>
            <w:tcW w:type="dxa" w:w="1542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7"/>
                <w:szCs w:val="17"/>
              </w:rPr>
              <w:t xml:space="preserve">ŽB montovaný skelet, plochá strecha</w:t>
            </w:r>
          </w:p>
        </w:tc>
        <w:tc>
          <w:tcPr>
            <w:tcW w:type="dxa" w:w="1159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7"/>
                <w:szCs w:val="17"/>
              </w:rPr>
              <w:t xml:space="preserve">320 165,36</w:t>
            </w:r>
          </w:p>
        </w:tc>
      </w:tr>
      <w:tr>
        <w:trPr>
          <w:cantSplit/>
          <w:tblHeader w:val="false"/>
        </w:trPr>
        <w:tc>
          <w:tcPr>
            <w:tcW w:type="dxa" w:w="3276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7"/>
                <w:szCs w:val="17"/>
              </w:rPr>
              <w:t xml:space="preserve">Garáže</w:t>
            </w:r>
          </w:p>
        </w:tc>
        <w:tc>
          <w:tcPr>
            <w:tcW w:type="dxa" w:w="1349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7"/>
                <w:szCs w:val="17"/>
              </w:rPr>
              <w:t xml:space="preserve">3 511,66</w:t>
            </w:r>
          </w:p>
        </w:tc>
        <w:tc>
          <w:tcPr>
            <w:tcW w:type="dxa" w:w="1349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7"/>
                <w:szCs w:val="17"/>
              </w:rPr>
              <w:t xml:space="preserve">445,31</w:t>
            </w:r>
          </w:p>
        </w:tc>
        <w:tc>
          <w:tcPr>
            <w:tcW w:type="dxa" w:w="963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7"/>
                <w:szCs w:val="17"/>
              </w:rPr>
              <w:t xml:space="preserve">2</w:t>
            </w:r>
          </w:p>
        </w:tc>
        <w:tc>
          <w:tcPr>
            <w:tcW w:type="dxa" w:w="1542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7"/>
                <w:szCs w:val="17"/>
              </w:rPr>
              <w:t xml:space="preserve">murované / montované</w:t>
            </w:r>
          </w:p>
        </w:tc>
        <w:tc>
          <w:tcPr>
            <w:tcW w:type="dxa" w:w="1159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7"/>
                <w:szCs w:val="17"/>
              </w:rPr>
              <w:t xml:space="preserve">28 860,05</w:t>
            </w:r>
          </w:p>
        </w:tc>
      </w:tr>
      <w:tr>
        <w:trPr>
          <w:cantSplit/>
          <w:tblHeader w:val="false"/>
        </w:trPr>
        <w:tc>
          <w:tcPr>
            <w:tcW w:type="dxa" w:w="3276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7"/>
                <w:szCs w:val="17"/>
              </w:rPr>
              <w:t xml:space="preserve">Kotolňa</w:t>
            </w:r>
          </w:p>
        </w:tc>
        <w:tc>
          <w:tcPr>
            <w:tcW w:type="dxa" w:w="1349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7"/>
                <w:szCs w:val="17"/>
              </w:rPr>
              <w:t xml:space="preserve">1 106,17</w:t>
            </w:r>
          </w:p>
        </w:tc>
        <w:tc>
          <w:tcPr>
            <w:tcW w:type="dxa" w:w="1349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7"/>
                <w:szCs w:val="17"/>
              </w:rPr>
              <w:t xml:space="preserve">152,90</w:t>
            </w:r>
          </w:p>
        </w:tc>
        <w:tc>
          <w:tcPr>
            <w:tcW w:type="dxa" w:w="963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7"/>
                <w:szCs w:val="17"/>
              </w:rPr>
              <w:t xml:space="preserve">1</w:t>
            </w:r>
          </w:p>
        </w:tc>
        <w:tc>
          <w:tcPr>
            <w:tcW w:type="dxa" w:w="1542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7"/>
                <w:szCs w:val="17"/>
              </w:rPr>
              <w:t xml:space="preserve">murovaná</w:t>
            </w:r>
          </w:p>
        </w:tc>
        <w:tc>
          <w:tcPr>
            <w:tcW w:type="dxa" w:w="1159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7"/>
                <w:szCs w:val="17"/>
              </w:rPr>
              <w:t xml:space="preserve">35 164,98</w:t>
            </w:r>
          </w:p>
        </w:tc>
      </w:tr>
      <w:tr>
        <w:trPr>
          <w:cantSplit/>
          <w:tblHeader w:val="false"/>
        </w:trPr>
        <w:tc>
          <w:tcPr>
            <w:tcW w:type="dxa" w:w="3276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7"/>
                <w:szCs w:val="17"/>
              </w:rPr>
              <w:t xml:space="preserve">Olejové hospodárstvo</w:t>
            </w:r>
          </w:p>
        </w:tc>
        <w:tc>
          <w:tcPr>
            <w:tcW w:type="dxa" w:w="1349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7"/>
                <w:szCs w:val="17"/>
              </w:rPr>
              <w:t xml:space="preserve">529,86</w:t>
            </w:r>
          </w:p>
        </w:tc>
        <w:tc>
          <w:tcPr>
            <w:tcW w:type="dxa" w:w="1349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7"/>
                <w:szCs w:val="17"/>
              </w:rPr>
              <w:t xml:space="preserve">109,02</w:t>
            </w:r>
          </w:p>
        </w:tc>
        <w:tc>
          <w:tcPr>
            <w:tcW w:type="dxa" w:w="963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7"/>
                <w:szCs w:val="17"/>
              </w:rPr>
              <w:t xml:space="preserve">1</w:t>
            </w:r>
          </w:p>
        </w:tc>
        <w:tc>
          <w:tcPr>
            <w:tcW w:type="dxa" w:w="1542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7"/>
                <w:szCs w:val="17"/>
              </w:rPr>
              <w:t xml:space="preserve">murované</w:t>
            </w:r>
          </w:p>
        </w:tc>
        <w:tc>
          <w:tcPr>
            <w:tcW w:type="dxa" w:w="1159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7"/>
                <w:szCs w:val="17"/>
              </w:rPr>
              <w:t xml:space="preserve">19 377,16</w:t>
            </w:r>
          </w:p>
        </w:tc>
      </w:tr>
      <w:tr>
        <w:trPr>
          <w:cantSplit/>
          <w:tblHeader w:val="false"/>
        </w:trPr>
        <w:tc>
          <w:tcPr>
            <w:tcW w:type="dxa" w:w="3276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7"/>
                <w:szCs w:val="17"/>
              </w:rPr>
              <w:t xml:space="preserve">Trafostanica</w:t>
            </w:r>
          </w:p>
        </w:tc>
        <w:tc>
          <w:tcPr>
            <w:tcW w:type="dxa" w:w="1349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7"/>
                <w:szCs w:val="17"/>
              </w:rPr>
              <w:t xml:space="preserve">255,12</w:t>
            </w:r>
          </w:p>
        </w:tc>
        <w:tc>
          <w:tcPr>
            <w:tcW w:type="dxa" w:w="1349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7"/>
                <w:szCs w:val="17"/>
              </w:rPr>
              <w:t xml:space="preserve">56,07</w:t>
            </w:r>
          </w:p>
        </w:tc>
        <w:tc>
          <w:tcPr>
            <w:tcW w:type="dxa" w:w="963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7"/>
                <w:szCs w:val="17"/>
              </w:rPr>
              <w:t xml:space="preserve">1</w:t>
            </w:r>
          </w:p>
        </w:tc>
        <w:tc>
          <w:tcPr>
            <w:tcW w:type="dxa" w:w="1542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7"/>
                <w:szCs w:val="17"/>
              </w:rPr>
              <w:t xml:space="preserve">murovaná</w:t>
            </w:r>
          </w:p>
        </w:tc>
        <w:tc>
          <w:tcPr>
            <w:tcW w:type="dxa" w:w="1159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7"/>
                <w:szCs w:val="17"/>
              </w:rPr>
              <w:t xml:space="preserve">14 647,85</w:t>
            </w:r>
          </w:p>
        </w:tc>
      </w:tr>
      <w:tr>
        <w:trPr>
          <w:cantSplit/>
          <w:tblHeader w:val="false"/>
        </w:trPr>
        <w:tc>
          <w:tcPr>
            <w:tcW w:type="dxa" w:w="3276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7"/>
                <w:szCs w:val="17"/>
              </w:rPr>
              <w:t xml:space="preserve">Oplotenie, prípojky (voda, kanalizácia splašková a dažďová, plyn, elektrina), šachty, septik, spevnené betónové plochy</w:t>
            </w:r>
          </w:p>
        </w:tc>
        <w:tc>
          <w:tcPr>
            <w:tcW w:type="dxa" w:w="1349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7"/>
                <w:szCs w:val="17"/>
              </w:rPr>
              <w:t xml:space="preserve">–</w:t>
            </w:r>
          </w:p>
        </w:tc>
        <w:tc>
          <w:tcPr>
            <w:tcW w:type="dxa" w:w="1349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7"/>
                <w:szCs w:val="17"/>
              </w:rPr>
              <w:t xml:space="preserve">–</w:t>
            </w:r>
          </w:p>
        </w:tc>
        <w:tc>
          <w:tcPr>
            <w:tcW w:type="dxa" w:w="963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7"/>
                <w:szCs w:val="17"/>
              </w:rPr>
              <w:t xml:space="preserve">–</w:t>
            </w:r>
          </w:p>
        </w:tc>
        <w:tc>
          <w:tcPr>
            <w:tcW w:type="dxa" w:w="1542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7"/>
                <w:szCs w:val="17"/>
              </w:rPr>
              <w:t xml:space="preserve">vonkajšie úpravy</w:t>
            </w:r>
          </w:p>
        </w:tc>
        <w:tc>
          <w:tcPr>
            <w:tcW w:type="dxa" w:w="1159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7"/>
                <w:szCs w:val="17"/>
              </w:rPr>
              <w:t xml:space="preserve">52 832,89</w:t>
            </w:r>
          </w:p>
        </w:tc>
      </w:tr>
      <w:tr>
        <w:trPr>
          <w:cantSplit/>
          <w:tblHeader w:val="false"/>
        </w:trPr>
        <w:tc>
          <w:tcPr>
            <w:tcW w:type="dxa" w:w="3276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EEF3FA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/>
                <w:bCs/>
                <w:color w:val="000000"/>
                <w:sz w:val="17"/>
                <w:szCs w:val="17"/>
              </w:rPr>
              <w:t xml:space="preserve">Stavby spolu</w:t>
            </w:r>
          </w:p>
        </w:tc>
        <w:tc>
          <w:tcPr>
            <w:tcW w:type="dxa" w:w="1349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EEF3FA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right"/>
            </w:pPr>
            <w:r>
              <w:rPr>
                <w:rFonts w:ascii="Arial" w:cs="Arial" w:eastAsia="Arial" w:hAnsi="Arial"/>
                <w:b/>
                <w:bCs/>
                <w:color w:val="000000"/>
                <w:sz w:val="17"/>
                <w:szCs w:val="17"/>
              </w:rPr>
              <w:t xml:space="preserve">28 001,93</w:t>
            </w:r>
          </w:p>
        </w:tc>
        <w:tc>
          <w:tcPr>
            <w:tcW w:type="dxa" w:w="1349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EEF3FA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right"/>
            </w:pPr>
            <w:r>
              <w:rPr>
                <w:rFonts w:ascii="Arial" w:cs="Arial" w:eastAsia="Arial" w:hAnsi="Arial"/>
                <w:b/>
                <w:bCs/>
                <w:color w:val="000000"/>
                <w:sz w:val="17"/>
                <w:szCs w:val="17"/>
              </w:rPr>
              <w:t xml:space="preserve">3 191,15</w:t>
            </w:r>
          </w:p>
        </w:tc>
        <w:tc>
          <w:tcPr>
            <w:tcW w:type="dxa" w:w="963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EEF3FA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Arial" w:cs="Arial" w:eastAsia="Arial" w:hAnsi="Arial"/>
                <w:b/>
                <w:bCs/>
                <w:color w:val="000000"/>
                <w:sz w:val="17"/>
                <w:szCs w:val="17"/>
              </w:rPr>
              <w:t xml:space="preserve"/>
            </w:r>
          </w:p>
        </w:tc>
        <w:tc>
          <w:tcPr>
            <w:tcW w:type="dxa" w:w="1542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EEF3FA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right"/>
            </w:pPr>
            <w:r>
              <w:rPr>
                <w:rFonts w:ascii="Arial" w:cs="Arial" w:eastAsia="Arial" w:hAnsi="Arial"/>
                <w:b/>
                <w:bCs/>
                <w:color w:val="000000"/>
                <w:sz w:val="17"/>
                <w:szCs w:val="17"/>
              </w:rPr>
              <w:t xml:space="preserve"/>
            </w:r>
          </w:p>
        </w:tc>
        <w:tc>
          <w:tcPr>
            <w:tcW w:type="dxa" w:w="1159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EEF3FA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right"/>
            </w:pPr>
            <w:r>
              <w:rPr>
                <w:rFonts w:ascii="Arial" w:cs="Arial" w:eastAsia="Arial" w:hAnsi="Arial"/>
                <w:b/>
                <w:bCs/>
                <w:color w:val="000000"/>
                <w:sz w:val="17"/>
                <w:szCs w:val="17"/>
              </w:rPr>
              <w:t xml:space="preserve">1 225 390,60</w:t>
            </w:r>
          </w:p>
        </w:tc>
      </w:tr>
      <w:tr>
        <w:trPr>
          <w:cantSplit/>
          <w:tblHeader w:val="false"/>
        </w:trPr>
        <w:tc>
          <w:tcPr>
            <w:tcW w:type="dxa" w:w="3276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7"/>
                <w:szCs w:val="17"/>
              </w:rPr>
              <w:t xml:space="preserve">Pozemky parc. č. 775/1 – 775/5 (10 789 m², metóda polohovej diferenciácie, 58,27 €/m²)</w:t>
            </w:r>
          </w:p>
        </w:tc>
        <w:tc>
          <w:tcPr>
            <w:tcW w:type="dxa" w:w="1349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7"/>
                <w:szCs w:val="17"/>
              </w:rPr>
              <w:t xml:space="preserve">–</w:t>
            </w:r>
          </w:p>
        </w:tc>
        <w:tc>
          <w:tcPr>
            <w:tcW w:type="dxa" w:w="1349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7"/>
                <w:szCs w:val="17"/>
              </w:rPr>
              <w:t xml:space="preserve">10 789</w:t>
            </w:r>
          </w:p>
        </w:tc>
        <w:tc>
          <w:tcPr>
            <w:tcW w:type="dxa" w:w="963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7"/>
                <w:szCs w:val="17"/>
              </w:rPr>
              <w:t xml:space="preserve">–</w:t>
            </w:r>
          </w:p>
        </w:tc>
        <w:tc>
          <w:tcPr>
            <w:tcW w:type="dxa" w:w="1542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7"/>
                <w:szCs w:val="17"/>
              </w:rPr>
              <w:t xml:space="preserve">zastavané plochy a nádvoria</w:t>
            </w:r>
          </w:p>
        </w:tc>
        <w:tc>
          <w:tcPr>
            <w:tcW w:type="dxa" w:w="1159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7"/>
                <w:szCs w:val="17"/>
              </w:rPr>
              <w:t xml:space="preserve">628 675,03</w:t>
            </w:r>
          </w:p>
        </w:tc>
      </w:tr>
      <w:tr>
        <w:trPr>
          <w:cantSplit/>
          <w:tblHeader w:val="false"/>
        </w:trPr>
        <w:tc>
          <w:tcPr>
            <w:tcW w:type="dxa" w:w="3276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EEF3FA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/>
                <w:bCs/>
                <w:color w:val="000000"/>
                <w:sz w:val="17"/>
                <w:szCs w:val="17"/>
              </w:rPr>
              <w:t xml:space="preserve">Všeobecná hodnota celkom (zaokrúhlene 1 850 000 €)</w:t>
            </w:r>
          </w:p>
        </w:tc>
        <w:tc>
          <w:tcPr>
            <w:tcW w:type="dxa" w:w="1349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EEF3FA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right"/>
            </w:pPr>
            <w:r>
              <w:rPr>
                <w:rFonts w:ascii="Arial" w:cs="Arial" w:eastAsia="Arial" w:hAnsi="Arial"/>
                <w:b/>
                <w:bCs/>
                <w:color w:val="000000"/>
                <w:sz w:val="17"/>
                <w:szCs w:val="17"/>
              </w:rPr>
              <w:t xml:space="preserve"/>
            </w:r>
          </w:p>
        </w:tc>
        <w:tc>
          <w:tcPr>
            <w:tcW w:type="dxa" w:w="1349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EEF3FA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right"/>
            </w:pPr>
            <w:r>
              <w:rPr>
                <w:rFonts w:ascii="Arial" w:cs="Arial" w:eastAsia="Arial" w:hAnsi="Arial"/>
                <w:b/>
                <w:bCs/>
                <w:color w:val="000000"/>
                <w:sz w:val="17"/>
                <w:szCs w:val="17"/>
              </w:rPr>
              <w:t xml:space="preserve"/>
            </w:r>
          </w:p>
        </w:tc>
        <w:tc>
          <w:tcPr>
            <w:tcW w:type="dxa" w:w="963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EEF3FA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Arial" w:cs="Arial" w:eastAsia="Arial" w:hAnsi="Arial"/>
                <w:b/>
                <w:bCs/>
                <w:color w:val="000000"/>
                <w:sz w:val="17"/>
                <w:szCs w:val="17"/>
              </w:rPr>
              <w:t xml:space="preserve"/>
            </w:r>
          </w:p>
        </w:tc>
        <w:tc>
          <w:tcPr>
            <w:tcW w:type="dxa" w:w="1542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EEF3FA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right"/>
            </w:pPr>
            <w:r>
              <w:rPr>
                <w:rFonts w:ascii="Arial" w:cs="Arial" w:eastAsia="Arial" w:hAnsi="Arial"/>
                <w:b/>
                <w:bCs/>
                <w:color w:val="000000"/>
                <w:sz w:val="17"/>
                <w:szCs w:val="17"/>
              </w:rPr>
              <w:t xml:space="preserve"/>
            </w:r>
          </w:p>
        </w:tc>
        <w:tc>
          <w:tcPr>
            <w:tcW w:type="dxa" w:w="1159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EEF3FA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right"/>
            </w:pPr>
            <w:r>
              <w:rPr>
                <w:rFonts w:ascii="Arial" w:cs="Arial" w:eastAsia="Arial" w:hAnsi="Arial"/>
                <w:b/>
                <w:bCs/>
                <w:color w:val="000000"/>
                <w:sz w:val="17"/>
                <w:szCs w:val="17"/>
              </w:rPr>
              <w:t xml:space="preserve">1 854 065,63</w:t>
            </w:r>
          </w:p>
        </w:tc>
      </w:tr>
    </w:tbl>
    <w:p>
      <w:pPr>
        <w:spacing w:after="160"/>
      </w:pPr>
      <w:r>
        <w:rPr>
          <w:rFonts w:ascii="Arial" w:cs="Arial" w:eastAsia="Arial" w:hAnsi="Arial"/>
          <w:i/>
          <w:iCs/>
          <w:color w:val="52514E"/>
          <w:sz w:val="17"/>
          <w:szCs w:val="17"/>
        </w:rPr>
        <w:t xml:space="preserve">Zdroj: znalecký posudok č. 87/2024, rekapitulácia všeobecnej hodnoty (kombinovaná metóda pre stavby, metóda polohovej diferenciácie pre pozemky, cenová úroveň s DPH). Hodnota slovom: jedenmiliónosemstopäťdesiattisíc eur.</w:t>
      </w:r>
    </w:p>
    <w:p>
      <w:pPr>
        <w:spacing w:after="120" w:line="276"/>
        <w:jc w:val="both"/>
      </w:pPr>
      <w:r>
        <w:rPr>
          <w:rFonts w:ascii="Arial" w:cs="Arial" w:eastAsia="Arial" w:hAnsi="Arial"/>
          <w:sz w:val="21"/>
          <w:szCs w:val="21"/>
        </w:rPr>
        <w:t xml:space="preserve">Znalecký posudok v plnom znení (39 strán vrátane prehľadu nájomcov a nákladov za rok 2023, stavebného povolenia a kolaudačného rozhodnutia) poskytneme pri obhliadke. Pre účely predaja bude na želanie kupujúceho vypracovaný aktualizovaný posudok k dátumu transakcie.</w:t>
      </w:r>
    </w:p>
    <w:p>
      <w:pPr>
        <w:pStyle w:val="Heading1"/>
        <w:spacing w:after="160" w:before="360"/>
      </w:pPr>
      <w:r>
        <w:rPr>
          <w:rFonts w:ascii="Arial" w:cs="Arial" w:eastAsia="Arial" w:hAnsi="Arial"/>
          <w:b/>
          <w:bCs/>
          <w:color w:val="1F3B73"/>
          <w:sz w:val="30"/>
          <w:szCs w:val="30"/>
        </w:rPr>
        <w:t xml:space="preserve">4. Územnoplánovacia informácia</w:t>
      </w:r>
    </w:p>
    <w:p>
      <w:pPr>
        <w:spacing w:after="120" w:line="276"/>
        <w:jc w:val="both"/>
      </w:pPr>
      <w:r>
        <w:rPr>
          <w:rFonts w:ascii="Arial" w:cs="Arial" w:eastAsia="Arial" w:hAnsi="Arial"/>
          <w:sz w:val="21"/>
          <w:szCs w:val="21"/>
        </w:rPr>
        <w:t xml:space="preserve">Mestský úrad Stará Ľubovňa, oddelenie výstavby, územného rozvoja a životného prostredia, vydal k pozemkom C KN parc. č. 775/1, 775/2, 775/3, 775/4 a 775/5, k. ú. Stará Ľubovňa (LV č. 1382) územnoplánovaciu informáciu – potvrdenie o funkčnom využití pozemku, č. MsÚ-SL-151/195/2025 zo dňa 9. 1. 2026 (vybavuje Ing. Anna Hrebíková, vedúca oddelenia). Podľa platnej územnoplánovacej dokumentácie mesta v znení Zmien a doplnkov č. 1, 2, 3 a 4 sa pozemky nachádzajú v urbanistickom obvode V06 a sú funkčne využiteľné ako polyfunkčná plocha pre obytnú zástavbu bytových domov a občianskej vybavenosti v rozsahu návrhu. Občianska vybavenosť, do ktorej ÚPN zaraďuje aj nákupné centrá, je teda na pozemkoch prípustnou funkciou. Záväzné regulatívy pre uvedenú plochu: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891"/>
        <w:gridCol w:w="6747"/>
      </w:tblGrid>
      <w:tr>
        <w:trPr>
          <w:cantSplit/>
          <w:tblHeader/>
        </w:trPr>
        <w:tc>
          <w:tcPr>
            <w:tcW w:type="dxa" w:w="2891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1F3B73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Údaj</w:t>
            </w:r>
          </w:p>
        </w:tc>
        <w:tc>
          <w:tcPr>
            <w:tcW w:type="dxa" w:w="6747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1F3B73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Hodnota</w:t>
            </w:r>
          </w:p>
        </w:tc>
      </w:tr>
      <w:tr>
        <w:trPr>
          <w:cantSplit/>
          <w:tblHeader w:val="false"/>
        </w:trPr>
        <w:tc>
          <w:tcPr>
            <w:tcW w:type="dxa" w:w="2891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9"/>
                <w:szCs w:val="19"/>
              </w:rPr>
              <w:t xml:space="preserve">Funkčné využitie</w:t>
            </w:r>
          </w:p>
        </w:tc>
        <w:tc>
          <w:tcPr>
            <w:tcW w:type="dxa" w:w="6747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9"/>
                <w:szCs w:val="19"/>
              </w:rPr>
              <w:t xml:space="preserve">polyfunkčná plocha pre obytnú zástavbu bytových domov a občianskej vybavenosti; polyfunkčné plochy sú územia s minimálne dvoma funkciami, ktoré sa vzájomne dopĺňajú</w:t>
            </w:r>
          </w:p>
        </w:tc>
      </w:tr>
      <w:tr>
        <w:trPr>
          <w:cantSplit/>
          <w:tblHeader w:val="false"/>
        </w:trPr>
        <w:tc>
          <w:tcPr>
            <w:tcW w:type="dxa" w:w="2891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9"/>
                <w:szCs w:val="19"/>
              </w:rPr>
              <w:t xml:space="preserve">Podlažnosť</w:t>
            </w:r>
          </w:p>
        </w:tc>
        <w:tc>
          <w:tcPr>
            <w:tcW w:type="dxa" w:w="6747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9"/>
                <w:szCs w:val="19"/>
              </w:rPr>
              <w:t xml:space="preserve">max. 8 NP vrátane podkrovia, neprípustnosť ustúpeného podlažia</w:t>
            </w:r>
          </w:p>
        </w:tc>
      </w:tr>
      <w:tr>
        <w:trPr>
          <w:cantSplit/>
          <w:tblHeader w:val="false"/>
        </w:trPr>
        <w:tc>
          <w:tcPr>
            <w:tcW w:type="dxa" w:w="2891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9"/>
                <w:szCs w:val="19"/>
              </w:rPr>
              <w:t xml:space="preserve">Zastavanosť</w:t>
            </w:r>
          </w:p>
        </w:tc>
        <w:tc>
          <w:tcPr>
            <w:tcW w:type="dxa" w:w="6747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9"/>
                <w:szCs w:val="19"/>
              </w:rPr>
              <w:t xml:space="preserve">pozemnými stavbami do 50 % z plochy pozemku (t. j. do cca 5 390 m² zastavanej plochy)</w:t>
            </w:r>
          </w:p>
        </w:tc>
      </w:tr>
      <w:tr>
        <w:trPr>
          <w:cantSplit/>
          <w:tblHeader w:val="false"/>
        </w:trPr>
        <w:tc>
          <w:tcPr>
            <w:tcW w:type="dxa" w:w="2891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9"/>
                <w:szCs w:val="19"/>
              </w:rPr>
              <w:t xml:space="preserve">Statická doprava</w:t>
            </w:r>
          </w:p>
        </w:tc>
        <w:tc>
          <w:tcPr>
            <w:tcW w:type="dxa" w:w="6747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9"/>
                <w:szCs w:val="19"/>
              </w:rPr>
              <w:t xml:space="preserve">pre nebytový priestor podľa príslušnej STN; pri podnikateľských aktivitách na plochách občianskej vybavenosti zabezpečiť plochy pre statickú dopravu v zmysle STN 73 6110 vždy na vlastnom pozemku; pre byty 2 státia / 1 byt</w:t>
            </w:r>
          </w:p>
        </w:tc>
      </w:tr>
      <w:tr>
        <w:trPr>
          <w:cantSplit/>
          <w:tblHeader w:val="false"/>
        </w:trPr>
        <w:tc>
          <w:tcPr>
            <w:tcW w:type="dxa" w:w="2891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9"/>
                <w:szCs w:val="19"/>
              </w:rPr>
              <w:t xml:space="preserve">Zeleň</w:t>
            </w:r>
          </w:p>
        </w:tc>
        <w:tc>
          <w:tcPr>
            <w:tcW w:type="dxa" w:w="6747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9"/>
                <w:szCs w:val="19"/>
              </w:rPr>
              <w:t xml:space="preserve">index zelene min. 20 % z plochy pozemku stavby (zelené strechy a steny sa do indexu nezapočítavajú)</w:t>
            </w:r>
          </w:p>
        </w:tc>
      </w:tr>
      <w:tr>
        <w:trPr>
          <w:cantSplit/>
          <w:tblHeader w:val="false"/>
        </w:trPr>
        <w:tc>
          <w:tcPr>
            <w:tcW w:type="dxa" w:w="2891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9"/>
                <w:szCs w:val="19"/>
              </w:rPr>
              <w:t xml:space="preserve">Ďalšie požiadavky</w:t>
            </w:r>
          </w:p>
        </w:tc>
        <w:tc>
          <w:tcPr>
            <w:tcW w:type="dxa" w:w="6747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9"/>
                <w:szCs w:val="19"/>
              </w:rPr>
              <w:t xml:space="preserve">prestrešené a uzamykateľné stojisko na odpad ako súčasť zámeru; posúdenie hlukovej záťaže z cestnej dopravy pred výstavbou; nepoužívať neobvyklé farebné odtiene ako prevládajúce farby fasád, pri viacerých objektoch jednotné farebné vyhotovenie; technické napojenie na existujúce uličné rozvody</w:t>
            </w:r>
          </w:p>
        </w:tc>
      </w:tr>
      <w:tr>
        <w:trPr>
          <w:cantSplit/>
          <w:tblHeader w:val="false"/>
        </w:trPr>
        <w:tc>
          <w:tcPr>
            <w:tcW w:type="dxa" w:w="2891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9"/>
                <w:szCs w:val="19"/>
              </w:rPr>
              <w:t xml:space="preserve">Územné rozhodnutie</w:t>
            </w:r>
          </w:p>
        </w:tc>
        <w:tc>
          <w:tcPr>
            <w:tcW w:type="dxa" w:w="6747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9"/>
                <w:szCs w:val="19"/>
              </w:rPr>
              <w:t xml:space="preserve">na areál je vydané platné územné rozhodnutie na novú zástavbu</w:t>
            </w:r>
          </w:p>
        </w:tc>
      </w:tr>
    </w:tbl>
    <w:p>
      <w:pPr>
        <w:spacing w:after="120"/>
      </w:pPr>
    </w:p>
    <w:p>
      <w:pPr>
        <w:spacing w:after="120" w:line="276"/>
        <w:jc w:val="both"/>
      </w:pPr>
      <w:r>
        <w:rPr>
          <w:rFonts w:ascii="Arial" w:cs="Arial" w:eastAsia="Arial" w:hAnsi="Arial"/>
          <w:sz w:val="21"/>
          <w:szCs w:val="21"/>
        </w:rPr>
        <w:t xml:space="preserve">Vyjadrenie mesta má informatívny charakter a nenahrádza rozhodnutia a stanoviská dotknutých orgánov v povoľovacom konaní. Kópiu územnoplánovacej informácie v plnom znení priložíme k podkladom na obhliadku. Pri predajni s plochou 3 000 – 5 000 m² a parkoviskom na vlastnom pozemku sú regulatívy zastavanosti (50 %) a zelene (20 %) splniteľné.</w:t>
      </w:r>
    </w:p>
    <w:p>
      <w:pPr>
        <w:pStyle w:val="Heading1"/>
        <w:spacing w:after="160" w:before="360"/>
      </w:pPr>
      <w:r>
        <w:rPr>
          <w:rFonts w:ascii="Arial" w:cs="Arial" w:eastAsia="Arial" w:hAnsi="Arial"/>
          <w:b/>
          <w:bCs/>
          <w:color w:val="1F3B73"/>
          <w:sz w:val="30"/>
          <w:szCs w:val="30"/>
        </w:rPr>
        <w:t xml:space="preserve">5. Lokalita a trh</w:t>
      </w:r>
    </w:p>
    <w:p>
      <w:pPr>
        <w:spacing w:after="120" w:line="276"/>
        <w:jc w:val="both"/>
      </w:pPr>
      <w:r>
        <w:rPr>
          <w:rFonts w:ascii="Arial" w:cs="Arial" w:eastAsia="Arial" w:hAnsi="Arial"/>
          <w:sz w:val="21"/>
          <w:szCs w:val="21"/>
        </w:rPr>
        <w:t xml:space="preserve">Stará Ľubovňa je okresné mesto s približne 15 800 obyvateľmi a spádovým okresom s približne 53 000 obyvateľmi. Mestom prechádza medzinárodná cesta I/68 Prešov – Stará Ľubovňa – Mníšek nad Popradom – Poľsko; hraničný priechod s mostom do Piwnicznej je vzdialený približne 15 km. Areál leží na Levočskej ulici, ktorá je hlavným vstupom do mesta od Prešova, Popradu a Levoče, v tesnom susedstve Ľubovnianskej nemocnice, obytných štvrtí a autobusovej dopravy, pár minút chôdze od centra.</w:t>
      </w:r>
    </w:p>
    <w:p>
      <w:pPr>
        <w:spacing w:after="120" w:line="276"/>
        <w:jc w:val="both"/>
      </w:pPr>
      <w:r>
        <w:rPr>
          <w:rFonts w:ascii="Arial" w:cs="Arial" w:eastAsia="Arial" w:hAnsi="Arial"/>
          <w:sz w:val="21"/>
          <w:szCs w:val="21"/>
        </w:rPr>
        <w:t xml:space="preserve">Spádová oblasť zahŕňa okrem mesta aj kúpele Vyšné Ružbachy, rekreačné oblasti v okolí Ľubovnianskeho hradu a prihraničné poľské obce (Piwniczna, Muszyna), odkiaľ zákazníci bežne dochádzajú na nákupy na Slovensko. Podľa nášho prieskumu v meste a okrese chýba veľkoformátová predajňa stavebnín, podlahovín a nábytku formátu Merkury Market; najbližšie porovnateľné predajne sú v Prešove a Poprade, vzdialených 50 – 60 km.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891"/>
        <w:gridCol w:w="6747"/>
      </w:tblGrid>
      <w:tr>
        <w:trPr>
          <w:cantSplit/>
          <w:tblHeader/>
        </w:trPr>
        <w:tc>
          <w:tcPr>
            <w:tcW w:type="dxa" w:w="2891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1F3B73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Údaj</w:t>
            </w:r>
          </w:p>
        </w:tc>
        <w:tc>
          <w:tcPr>
            <w:tcW w:type="dxa" w:w="6747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1F3B73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Hodnota</w:t>
            </w:r>
          </w:p>
        </w:tc>
      </w:tr>
      <w:tr>
        <w:trPr>
          <w:cantSplit/>
          <w:tblHeader w:val="false"/>
        </w:trPr>
        <w:tc>
          <w:tcPr>
            <w:tcW w:type="dxa" w:w="2891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9"/>
                <w:szCs w:val="19"/>
              </w:rPr>
              <w:t xml:space="preserve">Obyvatelia mesta / okresu</w:t>
            </w:r>
          </w:p>
        </w:tc>
        <w:tc>
          <w:tcPr>
            <w:tcW w:type="dxa" w:w="6747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9"/>
                <w:szCs w:val="19"/>
              </w:rPr>
              <w:t xml:space="preserve">cca 15 800 / 53 000</w:t>
            </w:r>
          </w:p>
        </w:tc>
      </w:tr>
      <w:tr>
        <w:trPr>
          <w:cantSplit/>
          <w:tblHeader w:val="false"/>
        </w:trPr>
        <w:tc>
          <w:tcPr>
            <w:tcW w:type="dxa" w:w="2891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9"/>
                <w:szCs w:val="19"/>
              </w:rPr>
              <w:t xml:space="preserve">Cesta</w:t>
            </w:r>
          </w:p>
        </w:tc>
        <w:tc>
          <w:tcPr>
            <w:tcW w:type="dxa" w:w="6747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9"/>
                <w:szCs w:val="19"/>
              </w:rPr>
              <w:t xml:space="preserve">I/68 Prešov – Stará Ľubovňa – Poľsko; Levočská ul. = hlavný vjazd do mesta od juhu</w:t>
            </w:r>
          </w:p>
        </w:tc>
      </w:tr>
      <w:tr>
        <w:trPr>
          <w:cantSplit/>
          <w:tblHeader w:val="false"/>
        </w:trPr>
        <w:tc>
          <w:tcPr>
            <w:tcW w:type="dxa" w:w="2891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9"/>
                <w:szCs w:val="19"/>
              </w:rPr>
              <w:t xml:space="preserve">Vzdialenosti</w:t>
            </w:r>
          </w:p>
        </w:tc>
        <w:tc>
          <w:tcPr>
            <w:tcW w:type="dxa" w:w="6747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9"/>
                <w:szCs w:val="19"/>
              </w:rPr>
              <w:t xml:space="preserve">Prešov 65 km, Poprad 55 km, Piwniczna (PL) 15 km, Nowy Sącz (PL) 45 km, Krosno (PL) 170 km</w:t>
            </w:r>
          </w:p>
        </w:tc>
      </w:tr>
      <w:tr>
        <w:trPr>
          <w:cantSplit/>
          <w:tblHeader w:val="false"/>
        </w:trPr>
        <w:tc>
          <w:tcPr>
            <w:tcW w:type="dxa" w:w="2891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9"/>
                <w:szCs w:val="19"/>
              </w:rPr>
              <w:t xml:space="preserve">Susedstvo</w:t>
            </w:r>
          </w:p>
        </w:tc>
        <w:tc>
          <w:tcPr>
            <w:tcW w:type="dxa" w:w="6747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9"/>
                <w:szCs w:val="19"/>
              </w:rPr>
              <w:t xml:space="preserve">nemocnica, obytné zóny, polyfunkčné objekty, nábrežie Jakubianky</w:t>
            </w:r>
          </w:p>
        </w:tc>
      </w:tr>
      <w:tr>
        <w:trPr>
          <w:cantSplit/>
          <w:tblHeader w:val="false"/>
        </w:trPr>
        <w:tc>
          <w:tcPr>
            <w:tcW w:type="dxa" w:w="2891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9"/>
                <w:szCs w:val="19"/>
              </w:rPr>
              <w:t xml:space="preserve">Plocha pozemku</w:t>
            </w:r>
          </w:p>
        </w:tc>
        <w:tc>
          <w:tcPr>
            <w:tcW w:type="dxa" w:w="6747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9"/>
                <w:szCs w:val="19"/>
              </w:rPr>
              <w:t xml:space="preserve">10 789 m² – vhodná pre predajňu 3 000 – 5 000 m² s parkoviskom 150 – 200 miest a zásobovacím dvorom</w:t>
            </w:r>
          </w:p>
        </w:tc>
      </w:tr>
    </w:tbl>
    <w:p>
      <w:pPr>
        <w:spacing w:after="120"/>
      </w:pPr>
    </w:p>
    <w:p>
      <w:pPr>
        <w:pStyle w:val="Heading1"/>
        <w:spacing w:after="160" w:before="360"/>
      </w:pPr>
      <w:r>
        <w:rPr>
          <w:rFonts w:ascii="Arial" w:cs="Arial" w:eastAsia="Arial" w:hAnsi="Arial"/>
          <w:b/>
          <w:bCs/>
          <w:color w:val="1F3B73"/>
          <w:sz w:val="30"/>
          <w:szCs w:val="30"/>
        </w:rPr>
        <w:t xml:space="preserve">6. Varianty spolupráce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542"/>
        <w:gridCol w:w="2313"/>
        <w:gridCol w:w="3276"/>
        <w:gridCol w:w="2507"/>
      </w:tblGrid>
      <w:tr>
        <w:trPr>
          <w:cantSplit/>
          <w:tblHeader/>
        </w:trPr>
        <w:tc>
          <w:tcPr>
            <w:tcW w:type="dxa" w:w="1542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1F3B73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7"/>
                <w:szCs w:val="17"/>
              </w:rPr>
              <w:t xml:space="preserve">Variant</w:t>
            </w:r>
          </w:p>
        </w:tc>
        <w:tc>
          <w:tcPr>
            <w:tcW w:type="dxa" w:w="2313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1F3B73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7"/>
                <w:szCs w:val="17"/>
              </w:rPr>
              <w:t xml:space="preserve">Obsah</w:t>
            </w:r>
          </w:p>
        </w:tc>
        <w:tc>
          <w:tcPr>
            <w:tcW w:type="dxa" w:w="3276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1F3B73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7"/>
                <w:szCs w:val="17"/>
              </w:rPr>
              <w:t xml:space="preserve">Čo zabezpečí BauHausEurope</w:t>
            </w:r>
          </w:p>
        </w:tc>
        <w:tc>
          <w:tcPr>
            <w:tcW w:type="dxa" w:w="2507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1F3B73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7"/>
                <w:szCs w:val="17"/>
              </w:rPr>
              <w:t xml:space="preserve">Čo získa Merkury Market</w:t>
            </w:r>
          </w:p>
        </w:tc>
      </w:tr>
      <w:tr>
        <w:trPr>
          <w:cantSplit/>
          <w:tblHeader w:val="false"/>
        </w:trPr>
        <w:tc>
          <w:tcPr>
            <w:tcW w:type="dxa" w:w="1542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7"/>
                <w:szCs w:val="17"/>
              </w:rPr>
              <w:t xml:space="preserve">A – Predaj areálu</w:t>
            </w:r>
          </w:p>
        </w:tc>
        <w:tc>
          <w:tcPr>
            <w:tcW w:type="dxa" w:w="2313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7"/>
                <w:szCs w:val="17"/>
              </w:rPr>
              <w:t xml:space="preserve">prevod pozemkov 10 789 m² a stavieb do vlastníctva Merkury Market</w:t>
            </w:r>
          </w:p>
        </w:tc>
        <w:tc>
          <w:tcPr>
            <w:tcW w:type="dxa" w:w="3276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7"/>
                <w:szCs w:val="17"/>
              </w:rPr>
              <w:t xml:space="preserve">odovzdanie bez nájomcov, výmaz záložného práva, súčinnosť pri katastri; na želanie demolácia pred prevodom</w:t>
            </w:r>
          </w:p>
        </w:tc>
        <w:tc>
          <w:tcPr>
            <w:tcW w:type="dxa" w:w="2507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7"/>
                <w:szCs w:val="17"/>
              </w:rPr>
              <w:t xml:space="preserve">vlastný pozemok na hlavnom ťahu, so sieťami, bez vecných bremien</w:t>
            </w:r>
          </w:p>
        </w:tc>
      </w:tr>
      <w:tr>
        <w:trPr>
          <w:cantSplit/>
          <w:tblHeader w:val="false"/>
        </w:trPr>
        <w:tc>
          <w:tcPr>
            <w:tcW w:type="dxa" w:w="1542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7"/>
                <w:szCs w:val="17"/>
              </w:rPr>
              <w:t xml:space="preserve">B – Výstavba na kľúč</w:t>
            </w:r>
          </w:p>
        </w:tc>
        <w:tc>
          <w:tcPr>
            <w:tcW w:type="dxa" w:w="2313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7"/>
                <w:szCs w:val="17"/>
              </w:rPr>
              <w:t xml:space="preserve">variant A + BauHausEurope ako generálny zhotoviteľ; investorom a objednávateľom stavby je Merkury Market, cena diela sa hradí podľa zmluvy o dielo (etapové fakturácie)</w:t>
            </w:r>
          </w:p>
        </w:tc>
        <w:tc>
          <w:tcPr>
            <w:tcW w:type="dxa" w:w="3276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7"/>
                <w:szCs w:val="17"/>
              </w:rPr>
              <w:t xml:space="preserve">demolácia vlastnou technikou (žeriav, nákladné autá, demolačné stroje, drvič betónu – recyklát použitý na zásypy priamo na stavbe), zemné práce, hrubá stavba haly, fasáda, strecha, vnútorné rozvody, parkovisko, prípojky, sadové úpravy</w:t>
            </w:r>
          </w:p>
        </w:tc>
        <w:tc>
          <w:tcPr>
            <w:tcW w:type="dxa" w:w="2507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7"/>
                <w:szCs w:val="17"/>
              </w:rPr>
              <w:t xml:space="preserve">jeden partner za pozemok aj stavbu, pevná cena a termín, úspora na odvoze sute a doprave</w:t>
            </w:r>
          </w:p>
        </w:tc>
      </w:tr>
      <w:tr>
        <w:trPr>
          <w:cantSplit/>
          <w:tblHeader w:val="false"/>
        </w:trPr>
        <w:tc>
          <w:tcPr>
            <w:tcW w:type="dxa" w:w="1542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7"/>
                <w:szCs w:val="17"/>
              </w:rPr>
              <w:t xml:space="preserve">C – Povolenia a príprava</w:t>
            </w:r>
          </w:p>
        </w:tc>
        <w:tc>
          <w:tcPr>
            <w:tcW w:type="dxa" w:w="2313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7"/>
                <w:szCs w:val="17"/>
              </w:rPr>
              <w:t xml:space="preserve">služba pre Merkury Market pred výstavbou a počas nej</w:t>
            </w:r>
          </w:p>
        </w:tc>
        <w:tc>
          <w:tcPr>
            <w:tcW w:type="dxa" w:w="3276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7"/>
                <w:szCs w:val="17"/>
              </w:rPr>
              <w:t xml:space="preserve">príprava zámeru pre mesto, výber architekta, projekt, územné konanie a stavebné povolenie, projektový manažment</w:t>
            </w:r>
          </w:p>
        </w:tc>
        <w:tc>
          <w:tcPr>
            <w:tcW w:type="dxa" w:w="2507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7"/>
                <w:szCs w:val="17"/>
              </w:rPr>
              <w:t xml:space="preserve">rýchlejšie povolenia a miestny partner, ktorý pozná mesto, úrady a dodávateľov</w:t>
            </w:r>
          </w:p>
        </w:tc>
      </w:tr>
    </w:tbl>
    <w:p>
      <w:pPr>
        <w:spacing w:after="120"/>
      </w:pPr>
    </w:p>
    <w:p>
      <w:pPr>
        <w:spacing w:after="120" w:line="276"/>
        <w:jc w:val="both"/>
      </w:pPr>
      <w:r>
        <w:rPr>
          <w:rFonts w:ascii="Arial" w:cs="Arial" w:eastAsia="Arial" w:hAnsi="Arial"/>
          <w:sz w:val="21"/>
          <w:szCs w:val="21"/>
        </w:rPr>
        <w:t xml:space="preserve">Kúpna cena areálu a cena stavebných prác budú predmetom rokovania po obhliadke a spresnení zadania (veľkosť predajne, počet parkovacích miest, štandard).</w:t>
      </w:r>
    </w:p>
    <w:p>
      <w:pPr>
        <w:pStyle w:val="Heading1"/>
        <w:spacing w:after="160" w:before="360"/>
      </w:pPr>
      <w:r>
        <w:rPr>
          <w:rFonts w:ascii="Arial" w:cs="Arial" w:eastAsia="Arial" w:hAnsi="Arial"/>
          <w:b/>
          <w:bCs/>
          <w:color w:val="1F3B73"/>
          <w:sz w:val="30"/>
          <w:szCs w:val="30"/>
        </w:rPr>
        <w:t xml:space="preserve">7. Čo vieme zabezpečiť navyše</w:t>
      </w:r>
    </w:p>
    <w:p>
      <w:pPr>
        <w:pStyle w:val="ListParagraph"/>
        <w:numPr>
          <w:ilvl w:val="0"/>
          <w:numId w:val="2"/>
        </w:numPr>
        <w:spacing w:after="80" w:line="276"/>
        <w:jc w:val="both"/>
      </w:pPr>
      <w:r>
        <w:rPr>
          <w:rFonts w:ascii="Arial" w:cs="Arial" w:eastAsia="Arial" w:hAnsi="Arial"/>
          <w:sz w:val="21"/>
          <w:szCs w:val="21"/>
        </w:rPr>
        <w:t xml:space="preserve">Povolenia: príprava zámeru pre mesto, územné konanie a stavebné povolenie, vrátane rokovaní s dotknutými orgánmi; máme dlhodobo korektné vzťahy s mestom Stará Ľubovňa a s jeho vedením.</w:t>
      </w:r>
    </w:p>
    <w:p>
      <w:pPr>
        <w:pStyle w:val="ListParagraph"/>
        <w:numPr>
          <w:ilvl w:val="0"/>
          <w:numId w:val="2"/>
        </w:numPr>
        <w:spacing w:after="80" w:line="276"/>
        <w:jc w:val="both"/>
      </w:pPr>
      <w:r>
        <w:rPr>
          <w:rFonts w:ascii="Arial" w:cs="Arial" w:eastAsia="Arial" w:hAnsi="Arial"/>
          <w:sz w:val="21"/>
          <w:szCs w:val="21"/>
        </w:rPr>
        <w:t xml:space="preserve">Architekt a projektant: výber a koordinácia architekta a projektantov, statika, požiarna ochrana, dopravné napojenie.</w:t>
      </w:r>
    </w:p>
    <w:p>
      <w:pPr>
        <w:pStyle w:val="ListParagraph"/>
        <w:numPr>
          <w:ilvl w:val="0"/>
          <w:numId w:val="2"/>
        </w:numPr>
        <w:spacing w:after="80" w:line="276"/>
        <w:jc w:val="both"/>
      </w:pPr>
      <w:r>
        <w:rPr>
          <w:rFonts w:ascii="Arial" w:cs="Arial" w:eastAsia="Arial" w:hAnsi="Arial"/>
          <w:sz w:val="21"/>
          <w:szCs w:val="21"/>
        </w:rPr>
        <w:t xml:space="preserve">Vlastná technika: autožeriav, nákladné vozidlá, demolačné stroje a mobilný drvič – demoláciu a hrubé terénne úpravy vieme začať bezprostredne po podpise zmluvy, bez čakania na subdodávateľov.</w:t>
      </w:r>
    </w:p>
    <w:p>
      <w:pPr>
        <w:pStyle w:val="ListParagraph"/>
        <w:numPr>
          <w:ilvl w:val="0"/>
          <w:numId w:val="2"/>
        </w:numPr>
        <w:spacing w:after="80" w:line="276"/>
        <w:jc w:val="both"/>
      </w:pPr>
      <w:r>
        <w:rPr>
          <w:rFonts w:ascii="Arial" w:cs="Arial" w:eastAsia="Arial" w:hAnsi="Arial"/>
          <w:sz w:val="21"/>
          <w:szCs w:val="21"/>
        </w:rPr>
        <w:t xml:space="preserve">Stavebné kapacity: vlastné stavebné tímy s dlhoročnými skúsenosťami zo stavieb pre nemeckých generálnych dodávateľov (hrubé stavby, betonáže, murované a montované konštrukcie, fasády, sadrokartón, dokončovacie práce).</w:t>
      </w:r>
    </w:p>
    <w:p>
      <w:pPr>
        <w:pStyle w:val="ListParagraph"/>
        <w:numPr>
          <w:ilvl w:val="0"/>
          <w:numId w:val="2"/>
        </w:numPr>
        <w:spacing w:after="80" w:line="276"/>
        <w:jc w:val="both"/>
      </w:pPr>
      <w:r>
        <w:rPr>
          <w:rFonts w:ascii="Arial" w:cs="Arial" w:eastAsia="Arial" w:hAnsi="Arial"/>
          <w:sz w:val="21"/>
          <w:szCs w:val="21"/>
        </w:rPr>
        <w:t xml:space="preserve">Siete a energie: existujúce prípojky vody, kanalizácie, plynu a elektriny a vlastná trafostanica skracujú čas prípravy; inžiniersko-geologický a hydrogeologický prieskum je hotový s vyhovujúcim výsledkom – podložie je vhodné na zakladanie stavby bez mimoriadnych opatrení.</w:t>
      </w:r>
    </w:p>
    <w:p>
      <w:pPr>
        <w:pStyle w:val="ListParagraph"/>
        <w:numPr>
          <w:ilvl w:val="0"/>
          <w:numId w:val="2"/>
        </w:numPr>
        <w:spacing w:after="80" w:line="276"/>
        <w:jc w:val="both"/>
      </w:pPr>
      <w:r>
        <w:rPr>
          <w:rFonts w:ascii="Arial" w:cs="Arial" w:eastAsia="Arial" w:hAnsi="Arial"/>
          <w:sz w:val="21"/>
          <w:szCs w:val="21"/>
        </w:rPr>
        <w:t xml:space="preserve">Miestna znalosť: sídlo stavebnej prevádzky v regióne, znalosť miestnych dodávateľov, úradov a trhu práce.</w:t>
      </w:r>
    </w:p>
    <w:p>
      <w:pPr>
        <w:pStyle w:val="Heading1"/>
        <w:spacing w:after="160" w:before="360"/>
      </w:pPr>
      <w:r>
        <w:rPr>
          <w:rFonts w:ascii="Arial" w:cs="Arial" w:eastAsia="Arial" w:hAnsi="Arial"/>
          <w:b/>
          <w:bCs/>
          <w:color w:val="1F3B73"/>
          <w:sz w:val="30"/>
          <w:szCs w:val="30"/>
        </w:rPr>
        <w:t xml:space="preserve">8. Indikatívny harmonogram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120"/>
        <w:gridCol w:w="7518"/>
      </w:tblGrid>
      <w:tr>
        <w:trPr>
          <w:cantSplit/>
          <w:tblHeader/>
        </w:trPr>
        <w:tc>
          <w:tcPr>
            <w:tcW w:type="dxa" w:w="2120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1F3B73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Obdobie</w:t>
            </w:r>
          </w:p>
        </w:tc>
        <w:tc>
          <w:tcPr>
            <w:tcW w:type="dxa" w:w="7518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1F3B73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Krok</w:t>
            </w:r>
          </w:p>
        </w:tc>
      </w:tr>
      <w:tr>
        <w:trPr>
          <w:cantSplit/>
          <w:tblHeader w:val="false"/>
        </w:trPr>
        <w:tc>
          <w:tcPr>
            <w:tcW w:type="dxa" w:w="2120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11/2026</w:t>
            </w:r>
          </w:p>
        </w:tc>
        <w:tc>
          <w:tcPr>
            <w:tcW w:type="dxa" w:w="7518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obhliadka areálu, odovzdanie podkladov (znalecký posudok, zameranie, územnoplánovacia informácia), prvé rokovanie o cene a rozsahu</w:t>
            </w:r>
          </w:p>
        </w:tc>
      </w:tr>
      <w:tr>
        <w:trPr>
          <w:cantSplit/>
          <w:tblHeader w:val="false"/>
        </w:trPr>
        <w:tc>
          <w:tcPr>
            <w:tcW w:type="dxa" w:w="2120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12/2026 – 1/2027</w:t>
            </w:r>
          </w:p>
        </w:tc>
        <w:tc>
          <w:tcPr>
            <w:tcW w:type="dxa" w:w="7518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letter of intent, due diligence, dohoda o variante spolupráce (A / B / C)</w:t>
            </w:r>
          </w:p>
        </w:tc>
      </w:tr>
      <w:tr>
        <w:trPr>
          <w:cantSplit/>
          <w:tblHeader w:val="false"/>
        </w:trPr>
        <w:tc>
          <w:tcPr>
            <w:tcW w:type="dxa" w:w="2120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Q1 2027</w:t>
            </w:r>
          </w:p>
        </w:tc>
        <w:tc>
          <w:tcPr>
            <w:tcW w:type="dxa" w:w="7518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kúpna zmluva a zmluva o dielo; začiatok demolácie (2 – 3 mesiace)</w:t>
            </w:r>
          </w:p>
        </w:tc>
      </w:tr>
      <w:tr>
        <w:trPr>
          <w:cantSplit/>
          <w:tblHeader w:val="false"/>
        </w:trPr>
        <w:tc>
          <w:tcPr>
            <w:tcW w:type="dxa" w:w="2120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Q2 – Q4 2027</w:t>
            </w:r>
          </w:p>
        </w:tc>
        <w:tc>
          <w:tcPr>
            <w:tcW w:type="dxa" w:w="7518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projekt, územné a stavebné konanie, zmena územného plánu v súčinnosti s mestom</w:t>
            </w:r>
          </w:p>
        </w:tc>
      </w:tr>
      <w:tr>
        <w:trPr>
          <w:cantSplit/>
          <w:tblHeader w:val="false"/>
        </w:trPr>
        <w:tc>
          <w:tcPr>
            <w:tcW w:type="dxa" w:w="2120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2028</w:t>
            </w:r>
          </w:p>
        </w:tc>
        <w:tc>
          <w:tcPr>
            <w:tcW w:type="dxa" w:w="7518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výstavba predajne, parkoviska a sietí (10 – 12 mesiacov)</w:t>
            </w:r>
          </w:p>
        </w:tc>
      </w:tr>
      <w:tr>
        <w:trPr>
          <w:cantSplit/>
          <w:tblHeader w:val="false"/>
        </w:trPr>
        <w:tc>
          <w:tcPr>
            <w:tcW w:type="dxa" w:w="2120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koniec 2028 / začiatok 2029</w:t>
            </w:r>
          </w:p>
        </w:tc>
        <w:tc>
          <w:tcPr>
            <w:tcW w:type="dxa" w:w="7518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kolaudácia a otvorenie predajne</w:t>
            </w:r>
          </w:p>
        </w:tc>
      </w:tr>
    </w:tbl>
    <w:p>
      <w:pPr>
        <w:spacing w:after="120"/>
      </w:pPr>
    </w:p>
    <w:p>
      <w:pPr>
        <w:pStyle w:val="Heading1"/>
        <w:spacing w:after="160" w:before="360"/>
      </w:pPr>
      <w:r>
        <w:rPr>
          <w:rFonts w:ascii="Arial" w:cs="Arial" w:eastAsia="Arial" w:hAnsi="Arial"/>
          <w:b/>
          <w:bCs/>
          <w:color w:val="1F3B73"/>
          <w:sz w:val="30"/>
          <w:szCs w:val="30"/>
        </w:rPr>
        <w:t xml:space="preserve">9. O spoločnosti BauHausEurope</w:t>
      </w:r>
    </w:p>
    <w:p>
      <w:pPr>
        <w:spacing w:after="120" w:line="276"/>
        <w:jc w:val="both"/>
      </w:pPr>
      <w:r>
        <w:rPr>
          <w:rFonts w:ascii="Arial" w:cs="Arial" w:eastAsia="Arial" w:hAnsi="Arial"/>
          <w:sz w:val="21"/>
          <w:szCs w:val="21"/>
        </w:rPr>
        <w:t xml:space="preserve">BauHausEurope s. r. o. pôsobí od roku 2013 ako stavebná a developerská spoločnosť. Hlavnou činnosťou je dodávka stavebných prác a kvalifikovaných stavebných pracovníkov pre generálnych dodávateľov v Nemecku; od roku 2022 skupina rozvíja vlastné developerské projekty a výstavbu inžinierskych sietí na Slovensku a v Chorvátsku.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891"/>
        <w:gridCol w:w="6747"/>
      </w:tblGrid>
      <w:tr>
        <w:trPr>
          <w:cantSplit/>
          <w:tblHeader/>
        </w:trPr>
        <w:tc>
          <w:tcPr>
            <w:tcW w:type="dxa" w:w="2891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1F3B73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Údaj</w:t>
            </w:r>
          </w:p>
        </w:tc>
        <w:tc>
          <w:tcPr>
            <w:tcW w:type="dxa" w:w="6747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1F3B73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Hodnota</w:t>
            </w:r>
          </w:p>
        </w:tc>
      </w:tr>
      <w:tr>
        <w:trPr>
          <w:cantSplit/>
          <w:tblHeader w:val="false"/>
        </w:trPr>
        <w:tc>
          <w:tcPr>
            <w:tcW w:type="dxa" w:w="2891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9"/>
                <w:szCs w:val="19"/>
              </w:rPr>
              <w:t xml:space="preserve">Výnosy</w:t>
            </w:r>
          </w:p>
        </w:tc>
        <w:tc>
          <w:tcPr>
            <w:tcW w:type="dxa" w:w="6747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9"/>
                <w:szCs w:val="19"/>
              </w:rPr>
              <w:t xml:space="preserve">2023: 8,7 mil. €  |  2024: 11,3 mil. €  |  2025: 9,3 mil. €</w:t>
            </w:r>
          </w:p>
        </w:tc>
      </w:tr>
      <w:tr>
        <w:trPr>
          <w:cantSplit/>
          <w:tblHeader w:val="false"/>
        </w:trPr>
        <w:tc>
          <w:tcPr>
            <w:tcW w:type="dxa" w:w="2891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9"/>
                <w:szCs w:val="19"/>
              </w:rPr>
              <w:t xml:space="preserve">Vybrané projekty</w:t>
            </w:r>
          </w:p>
        </w:tc>
        <w:tc>
          <w:tcPr>
            <w:tcW w:type="dxa" w:w="6747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9"/>
                <w:szCs w:val="19"/>
              </w:rPr>
              <w:t xml:space="preserve">inžinierske siete pre obytnú zónu Senec – Margovo (11,66 mil. € bez DPH, 38 ha, 835 bytov a domov); 27 apartmánov v Chorvátsku; Sky Hill Residence Banská Bystrica; prestavba objektu vo Vyšných Ružbachoch na 62 bytov</w:t>
            </w:r>
          </w:p>
        </w:tc>
      </w:tr>
      <w:tr>
        <w:trPr>
          <w:cantSplit/>
          <w:tblHeader w:val="false"/>
        </w:trPr>
        <w:tc>
          <w:tcPr>
            <w:tcW w:type="dxa" w:w="2891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9"/>
                <w:szCs w:val="19"/>
              </w:rPr>
              <w:t xml:space="preserve">Majetok skupiny</w:t>
            </w:r>
          </w:p>
        </w:tc>
        <w:tc>
          <w:tcPr>
            <w:tcW w:type="dxa" w:w="6747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9"/>
                <w:szCs w:val="19"/>
              </w:rPr>
              <w:t xml:space="preserve">nehnuteľnosti v Starej Ľubovni, Banskej Bystrici a Vyšných Ružbachoch v súhrnnej hodnote 6,17 mil. € podľa znaleckých posudkov</w:t>
            </w:r>
          </w:p>
        </w:tc>
      </w:tr>
      <w:tr>
        <w:trPr>
          <w:cantSplit/>
          <w:tblHeader w:val="false"/>
        </w:trPr>
        <w:tc>
          <w:tcPr>
            <w:tcW w:type="dxa" w:w="2891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9"/>
                <w:szCs w:val="19"/>
              </w:rPr>
              <w:t xml:space="preserve">Technika</w:t>
            </w:r>
          </w:p>
        </w:tc>
        <w:tc>
          <w:tcPr>
            <w:tcW w:type="dxa" w:w="6747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9"/>
                <w:szCs w:val="19"/>
              </w:rPr>
              <w:t xml:space="preserve">autožeriav, nákladné vozidlá, demolačné stroje, mobilný drvič, debnenie a lešenie</w:t>
            </w:r>
          </w:p>
        </w:tc>
      </w:tr>
      <w:tr>
        <w:trPr>
          <w:cantSplit/>
          <w:tblHeader w:val="false"/>
        </w:trPr>
        <w:tc>
          <w:tcPr>
            <w:tcW w:type="dxa" w:w="2891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9"/>
                <w:szCs w:val="19"/>
              </w:rPr>
              <w:t xml:space="preserve">Konateľ</w:t>
            </w:r>
          </w:p>
        </w:tc>
        <w:tc>
          <w:tcPr>
            <w:tcW w:type="dxa" w:w="6747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9"/>
                <w:szCs w:val="19"/>
              </w:rPr>
              <w:t xml:space="preserve">Bc. Ľubomír Kruk, majiteľ skupiny BauHausEurope</w:t>
            </w:r>
          </w:p>
        </w:tc>
      </w:tr>
    </w:tbl>
    <w:p>
      <w:pPr>
        <w:spacing w:after="120"/>
      </w:pPr>
    </w:p>
    <w:p>
      <w:pPr>
        <w:spacing w:after="120" w:line="276"/>
        <w:jc w:val="both"/>
      </w:pPr>
      <w:r>
        <w:rPr>
          <w:rFonts w:ascii="Arial" w:cs="Arial" w:eastAsia="Arial" w:hAnsi="Arial"/>
          <w:sz w:val="21"/>
          <w:szCs w:val="21"/>
        </w:rPr>
        <w:t xml:space="preserve">Finančné ukazovatele spoločnosti podľa riadnych účtovných závierok zverejnených v Registri účtovných závierok SR (v eurách):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276"/>
        <w:gridCol w:w="1252"/>
        <w:gridCol w:w="1252"/>
        <w:gridCol w:w="1252"/>
        <w:gridCol w:w="1349"/>
        <w:gridCol w:w="1257"/>
      </w:tblGrid>
      <w:tr>
        <w:trPr>
          <w:cantSplit/>
          <w:tblHeader/>
        </w:trPr>
        <w:tc>
          <w:tcPr>
            <w:tcW w:type="dxa" w:w="3276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1F3B73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7"/>
                <w:szCs w:val="17"/>
              </w:rPr>
              <w:t xml:space="preserve">Ukazovateľ (€)</w:t>
            </w:r>
          </w:p>
        </w:tc>
        <w:tc>
          <w:tcPr>
            <w:tcW w:type="dxa" w:w="1252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1F3B73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right"/>
            </w:pPr>
            <w:r>
              <w:rPr>
                <w:rFonts w:ascii="Arial" w:cs="Arial" w:eastAsia="Arial" w:hAnsi="Arial"/>
                <w:b/>
                <w:bCs/>
                <w:color w:val="FFFFFF"/>
                <w:sz w:val="17"/>
                <w:szCs w:val="17"/>
              </w:rPr>
              <w:t xml:space="preserve">2021</w:t>
            </w:r>
          </w:p>
        </w:tc>
        <w:tc>
          <w:tcPr>
            <w:tcW w:type="dxa" w:w="1252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1F3B73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right"/>
            </w:pPr>
            <w:r>
              <w:rPr>
                <w:rFonts w:ascii="Arial" w:cs="Arial" w:eastAsia="Arial" w:hAnsi="Arial"/>
                <w:b/>
                <w:bCs/>
                <w:color w:val="FFFFFF"/>
                <w:sz w:val="17"/>
                <w:szCs w:val="17"/>
              </w:rPr>
              <w:t xml:space="preserve">2022</w:t>
            </w:r>
          </w:p>
        </w:tc>
        <w:tc>
          <w:tcPr>
            <w:tcW w:type="dxa" w:w="1252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1F3B73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right"/>
            </w:pPr>
            <w:r>
              <w:rPr>
                <w:rFonts w:ascii="Arial" w:cs="Arial" w:eastAsia="Arial" w:hAnsi="Arial"/>
                <w:b/>
                <w:bCs/>
                <w:color w:val="FFFFFF"/>
                <w:sz w:val="17"/>
                <w:szCs w:val="17"/>
              </w:rPr>
              <w:t xml:space="preserve">2023</w:t>
            </w:r>
          </w:p>
        </w:tc>
        <w:tc>
          <w:tcPr>
            <w:tcW w:type="dxa" w:w="1349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1F3B73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right"/>
            </w:pPr>
            <w:r>
              <w:rPr>
                <w:rFonts w:ascii="Arial" w:cs="Arial" w:eastAsia="Arial" w:hAnsi="Arial"/>
                <w:b/>
                <w:bCs/>
                <w:color w:val="FFFFFF"/>
                <w:sz w:val="17"/>
                <w:szCs w:val="17"/>
              </w:rPr>
              <w:t xml:space="preserve">2024</w:t>
            </w:r>
          </w:p>
        </w:tc>
        <w:tc>
          <w:tcPr>
            <w:tcW w:type="dxa" w:w="1257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1F3B73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right"/>
            </w:pPr>
            <w:r>
              <w:rPr>
                <w:rFonts w:ascii="Arial" w:cs="Arial" w:eastAsia="Arial" w:hAnsi="Arial"/>
                <w:b/>
                <w:bCs/>
                <w:color w:val="FFFFFF"/>
                <w:sz w:val="17"/>
                <w:szCs w:val="17"/>
              </w:rPr>
              <w:t xml:space="preserve">2025</w:t>
            </w:r>
          </w:p>
        </w:tc>
      </w:tr>
      <w:tr>
        <w:trPr>
          <w:cantSplit/>
          <w:tblHeader w:val="false"/>
        </w:trPr>
        <w:tc>
          <w:tcPr>
            <w:tcW w:type="dxa" w:w="3276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7"/>
                <w:szCs w:val="17"/>
              </w:rPr>
              <w:t xml:space="preserve">Výnosy z hospodárskej činnosti (obrat)</w:t>
            </w:r>
          </w:p>
        </w:tc>
        <w:tc>
          <w:tcPr>
            <w:tcW w:type="dxa" w:w="1252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7"/>
                <w:szCs w:val="17"/>
              </w:rPr>
              <w:t xml:space="preserve">7 126 603</w:t>
            </w:r>
          </w:p>
        </w:tc>
        <w:tc>
          <w:tcPr>
            <w:tcW w:type="dxa" w:w="1252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7"/>
                <w:szCs w:val="17"/>
              </w:rPr>
              <w:t xml:space="preserve">8 743 155</w:t>
            </w:r>
          </w:p>
        </w:tc>
        <w:tc>
          <w:tcPr>
            <w:tcW w:type="dxa" w:w="1252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7"/>
                <w:szCs w:val="17"/>
              </w:rPr>
              <w:t xml:space="preserve">8 662 883</w:t>
            </w:r>
          </w:p>
        </w:tc>
        <w:tc>
          <w:tcPr>
            <w:tcW w:type="dxa" w:w="1349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7"/>
                <w:szCs w:val="17"/>
              </w:rPr>
              <w:t xml:space="preserve">11 307 204</w:t>
            </w:r>
          </w:p>
        </w:tc>
        <w:tc>
          <w:tcPr>
            <w:tcW w:type="dxa" w:w="1257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7"/>
                <w:szCs w:val="17"/>
              </w:rPr>
              <w:t xml:space="preserve">9 346 482</w:t>
            </w:r>
          </w:p>
        </w:tc>
      </w:tr>
      <w:tr>
        <w:trPr>
          <w:cantSplit/>
          <w:tblHeader w:val="false"/>
        </w:trPr>
        <w:tc>
          <w:tcPr>
            <w:tcW w:type="dxa" w:w="3276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7"/>
                <w:szCs w:val="17"/>
              </w:rPr>
              <w:t xml:space="preserve">Výsledok hospodárenia z hospodárskej činnosti</w:t>
            </w:r>
          </w:p>
        </w:tc>
        <w:tc>
          <w:tcPr>
            <w:tcW w:type="dxa" w:w="1252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7"/>
                <w:szCs w:val="17"/>
              </w:rPr>
              <w:t xml:space="preserve">36 165</w:t>
            </w:r>
          </w:p>
        </w:tc>
        <w:tc>
          <w:tcPr>
            <w:tcW w:type="dxa" w:w="1252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7"/>
                <w:szCs w:val="17"/>
              </w:rPr>
              <w:t xml:space="preserve">157 799</w:t>
            </w:r>
          </w:p>
        </w:tc>
        <w:tc>
          <w:tcPr>
            <w:tcW w:type="dxa" w:w="1252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7"/>
                <w:szCs w:val="17"/>
              </w:rPr>
              <w:t xml:space="preserve">22 315</w:t>
            </w:r>
          </w:p>
        </w:tc>
        <w:tc>
          <w:tcPr>
            <w:tcW w:type="dxa" w:w="1349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7"/>
                <w:szCs w:val="17"/>
              </w:rPr>
              <w:t xml:space="preserve">367 470</w:t>
            </w:r>
          </w:p>
        </w:tc>
        <w:tc>
          <w:tcPr>
            <w:tcW w:type="dxa" w:w="1257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7"/>
                <w:szCs w:val="17"/>
              </w:rPr>
              <w:t xml:space="preserve">211 159</w:t>
            </w:r>
          </w:p>
        </w:tc>
      </w:tr>
      <w:tr>
        <w:trPr>
          <w:cantSplit/>
          <w:tblHeader w:val="false"/>
        </w:trPr>
        <w:tc>
          <w:tcPr>
            <w:tcW w:type="dxa" w:w="3276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EEF3FA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/>
                <w:bCs/>
                <w:color w:val="000000"/>
                <w:sz w:val="17"/>
                <w:szCs w:val="17"/>
              </w:rPr>
              <w:t xml:space="preserve">EBITDA (prevádzkový výsledok + odpisy)</w:t>
            </w:r>
          </w:p>
        </w:tc>
        <w:tc>
          <w:tcPr>
            <w:tcW w:type="dxa" w:w="1252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EEF3FA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right"/>
            </w:pPr>
            <w:r>
              <w:rPr>
                <w:rFonts w:ascii="Arial" w:cs="Arial" w:eastAsia="Arial" w:hAnsi="Arial"/>
                <w:b/>
                <w:bCs/>
                <w:color w:val="000000"/>
                <w:sz w:val="17"/>
                <w:szCs w:val="17"/>
              </w:rPr>
              <w:t xml:space="preserve">81 953</w:t>
            </w:r>
          </w:p>
        </w:tc>
        <w:tc>
          <w:tcPr>
            <w:tcW w:type="dxa" w:w="1252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EEF3FA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right"/>
            </w:pPr>
            <w:r>
              <w:rPr>
                <w:rFonts w:ascii="Arial" w:cs="Arial" w:eastAsia="Arial" w:hAnsi="Arial"/>
                <w:b/>
                <w:bCs/>
                <w:color w:val="000000"/>
                <w:sz w:val="17"/>
                <w:szCs w:val="17"/>
              </w:rPr>
              <w:t xml:space="preserve">380 821</w:t>
            </w:r>
          </w:p>
        </w:tc>
        <w:tc>
          <w:tcPr>
            <w:tcW w:type="dxa" w:w="1252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EEF3FA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right"/>
            </w:pPr>
            <w:r>
              <w:rPr>
                <w:rFonts w:ascii="Arial" w:cs="Arial" w:eastAsia="Arial" w:hAnsi="Arial"/>
                <w:b/>
                <w:bCs/>
                <w:color w:val="000000"/>
                <w:sz w:val="17"/>
                <w:szCs w:val="17"/>
              </w:rPr>
              <w:t xml:space="preserve">499 222</w:t>
            </w:r>
          </w:p>
        </w:tc>
        <w:tc>
          <w:tcPr>
            <w:tcW w:type="dxa" w:w="1349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EEF3FA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right"/>
            </w:pPr>
            <w:r>
              <w:rPr>
                <w:rFonts w:ascii="Arial" w:cs="Arial" w:eastAsia="Arial" w:hAnsi="Arial"/>
                <w:b/>
                <w:bCs/>
                <w:color w:val="000000"/>
                <w:sz w:val="17"/>
                <w:szCs w:val="17"/>
              </w:rPr>
              <w:t xml:space="preserve">801 544</w:t>
            </w:r>
          </w:p>
        </w:tc>
        <w:tc>
          <w:tcPr>
            <w:tcW w:type="dxa" w:w="1257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EEF3FA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right"/>
            </w:pPr>
            <w:r>
              <w:rPr>
                <w:rFonts w:ascii="Arial" w:cs="Arial" w:eastAsia="Arial" w:hAnsi="Arial"/>
                <w:b/>
                <w:bCs/>
                <w:color w:val="000000"/>
                <w:sz w:val="17"/>
                <w:szCs w:val="17"/>
              </w:rPr>
              <w:t xml:space="preserve">639 720</w:t>
            </w:r>
          </w:p>
        </w:tc>
      </w:tr>
      <w:tr>
        <w:trPr>
          <w:cantSplit/>
          <w:tblHeader w:val="false"/>
        </w:trPr>
        <w:tc>
          <w:tcPr>
            <w:tcW w:type="dxa" w:w="3276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7"/>
                <w:szCs w:val="17"/>
              </w:rPr>
              <w:t xml:space="preserve">Výsledok hospodárenia po zdanení</w:t>
            </w:r>
          </w:p>
        </w:tc>
        <w:tc>
          <w:tcPr>
            <w:tcW w:type="dxa" w:w="1252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7"/>
                <w:szCs w:val="17"/>
              </w:rPr>
              <w:t xml:space="preserve">18 686</w:t>
            </w:r>
          </w:p>
        </w:tc>
        <w:tc>
          <w:tcPr>
            <w:tcW w:type="dxa" w:w="1252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7"/>
                <w:szCs w:val="17"/>
              </w:rPr>
              <w:t xml:space="preserve">83 286</w:t>
            </w:r>
          </w:p>
        </w:tc>
        <w:tc>
          <w:tcPr>
            <w:tcW w:type="dxa" w:w="1252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7"/>
                <w:szCs w:val="17"/>
              </w:rPr>
              <w:t xml:space="preserve">-69 736</w:t>
            </w:r>
          </w:p>
        </w:tc>
        <w:tc>
          <w:tcPr>
            <w:tcW w:type="dxa" w:w="1349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7"/>
                <w:szCs w:val="17"/>
              </w:rPr>
              <w:t xml:space="preserve">220 503</w:t>
            </w:r>
          </w:p>
        </w:tc>
        <w:tc>
          <w:tcPr>
            <w:tcW w:type="dxa" w:w="1257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7"/>
                <w:szCs w:val="17"/>
              </w:rPr>
              <w:t xml:space="preserve">106 056</w:t>
            </w:r>
          </w:p>
        </w:tc>
      </w:tr>
      <w:tr>
        <w:trPr>
          <w:cantSplit/>
          <w:tblHeader w:val="false"/>
        </w:trPr>
        <w:tc>
          <w:tcPr>
            <w:tcW w:type="dxa" w:w="3276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7"/>
                <w:szCs w:val="17"/>
              </w:rPr>
              <w:t xml:space="preserve">Majetok spolu (aktíva netto)</w:t>
            </w:r>
          </w:p>
        </w:tc>
        <w:tc>
          <w:tcPr>
            <w:tcW w:type="dxa" w:w="1252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7"/>
                <w:szCs w:val="17"/>
              </w:rPr>
              <w:t xml:space="preserve">1 351 175</w:t>
            </w:r>
          </w:p>
        </w:tc>
        <w:tc>
          <w:tcPr>
            <w:tcW w:type="dxa" w:w="1252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7"/>
                <w:szCs w:val="17"/>
              </w:rPr>
              <w:t xml:space="preserve">2 974 620</w:t>
            </w:r>
          </w:p>
        </w:tc>
        <w:tc>
          <w:tcPr>
            <w:tcW w:type="dxa" w:w="1252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7"/>
                <w:szCs w:val="17"/>
              </w:rPr>
              <w:t xml:space="preserve">2 709 699</w:t>
            </w:r>
          </w:p>
        </w:tc>
        <w:tc>
          <w:tcPr>
            <w:tcW w:type="dxa" w:w="1349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7"/>
                <w:szCs w:val="17"/>
              </w:rPr>
              <w:t xml:space="preserve">3 386 125</w:t>
            </w:r>
          </w:p>
        </w:tc>
        <w:tc>
          <w:tcPr>
            <w:tcW w:type="dxa" w:w="1257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7"/>
                <w:szCs w:val="17"/>
              </w:rPr>
              <w:t xml:space="preserve">3 490 376</w:t>
            </w:r>
          </w:p>
        </w:tc>
      </w:tr>
      <w:tr>
        <w:trPr>
          <w:cantSplit/>
          <w:tblHeader w:val="false"/>
        </w:trPr>
        <w:tc>
          <w:tcPr>
            <w:tcW w:type="dxa" w:w="3276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7"/>
                <w:szCs w:val="17"/>
              </w:rPr>
              <w:t xml:space="preserve">z toho dlhodobý hmotný majetok</w:t>
            </w:r>
          </w:p>
        </w:tc>
        <w:tc>
          <w:tcPr>
            <w:tcW w:type="dxa" w:w="1252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7"/>
                <w:szCs w:val="17"/>
              </w:rPr>
              <w:t xml:space="preserve">287 167</w:t>
            </w:r>
          </w:p>
        </w:tc>
        <w:tc>
          <w:tcPr>
            <w:tcW w:type="dxa" w:w="1252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7"/>
                <w:szCs w:val="17"/>
              </w:rPr>
              <w:t xml:space="preserve">1 783 967</w:t>
            </w:r>
          </w:p>
        </w:tc>
        <w:tc>
          <w:tcPr>
            <w:tcW w:type="dxa" w:w="1252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7"/>
                <w:szCs w:val="17"/>
              </w:rPr>
              <w:t xml:space="preserve">1 672 519</w:t>
            </w:r>
          </w:p>
        </w:tc>
        <w:tc>
          <w:tcPr>
            <w:tcW w:type="dxa" w:w="1349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7"/>
                <w:szCs w:val="17"/>
              </w:rPr>
              <w:t xml:space="preserve">1 865 839</w:t>
            </w:r>
          </w:p>
        </w:tc>
        <w:tc>
          <w:tcPr>
            <w:tcW w:type="dxa" w:w="1257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7"/>
                <w:szCs w:val="17"/>
              </w:rPr>
              <w:t xml:space="preserve">1 537 681</w:t>
            </w:r>
          </w:p>
        </w:tc>
      </w:tr>
      <w:tr>
        <w:trPr>
          <w:cantSplit/>
          <w:tblHeader w:val="false"/>
        </w:trPr>
        <w:tc>
          <w:tcPr>
            <w:tcW w:type="dxa" w:w="3276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EEF3FA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/>
                <w:bCs/>
                <w:color w:val="000000"/>
                <w:sz w:val="17"/>
                <w:szCs w:val="17"/>
              </w:rPr>
              <w:t xml:space="preserve">Vlastné imanie</w:t>
            </w:r>
          </w:p>
        </w:tc>
        <w:tc>
          <w:tcPr>
            <w:tcW w:type="dxa" w:w="1252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EEF3FA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right"/>
            </w:pPr>
            <w:r>
              <w:rPr>
                <w:rFonts w:ascii="Arial" w:cs="Arial" w:eastAsia="Arial" w:hAnsi="Arial"/>
                <w:b/>
                <w:bCs/>
                <w:color w:val="000000"/>
                <w:sz w:val="17"/>
                <w:szCs w:val="17"/>
              </w:rPr>
              <w:t xml:space="preserve">155 468</w:t>
            </w:r>
          </w:p>
        </w:tc>
        <w:tc>
          <w:tcPr>
            <w:tcW w:type="dxa" w:w="1252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EEF3FA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right"/>
            </w:pPr>
            <w:r>
              <w:rPr>
                <w:rFonts w:ascii="Arial" w:cs="Arial" w:eastAsia="Arial" w:hAnsi="Arial"/>
                <w:b/>
                <w:bCs/>
                <w:color w:val="000000"/>
                <w:sz w:val="17"/>
                <w:szCs w:val="17"/>
              </w:rPr>
              <w:t xml:space="preserve">608 454</w:t>
            </w:r>
          </w:p>
        </w:tc>
        <w:tc>
          <w:tcPr>
            <w:tcW w:type="dxa" w:w="1252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EEF3FA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right"/>
            </w:pPr>
            <w:r>
              <w:rPr>
                <w:rFonts w:ascii="Arial" w:cs="Arial" w:eastAsia="Arial" w:hAnsi="Arial"/>
                <w:b/>
                <w:bCs/>
                <w:color w:val="000000"/>
                <w:sz w:val="17"/>
                <w:szCs w:val="17"/>
              </w:rPr>
              <w:t xml:space="preserve">521 694</w:t>
            </w:r>
          </w:p>
        </w:tc>
        <w:tc>
          <w:tcPr>
            <w:tcW w:type="dxa" w:w="1349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EEF3FA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right"/>
            </w:pPr>
            <w:r>
              <w:rPr>
                <w:rFonts w:ascii="Arial" w:cs="Arial" w:eastAsia="Arial" w:hAnsi="Arial"/>
                <w:b/>
                <w:bCs/>
                <w:color w:val="000000"/>
                <w:sz w:val="17"/>
                <w:szCs w:val="17"/>
              </w:rPr>
              <w:t xml:space="preserve">742 198</w:t>
            </w:r>
          </w:p>
        </w:tc>
        <w:tc>
          <w:tcPr>
            <w:tcW w:type="dxa" w:w="1257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EEF3FA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right"/>
            </w:pPr>
            <w:r>
              <w:rPr>
                <w:rFonts w:ascii="Arial" w:cs="Arial" w:eastAsia="Arial" w:hAnsi="Arial"/>
                <w:b/>
                <w:bCs/>
                <w:color w:val="000000"/>
                <w:sz w:val="17"/>
                <w:szCs w:val="17"/>
              </w:rPr>
              <w:t xml:space="preserve">839 335</w:t>
            </w:r>
          </w:p>
        </w:tc>
      </w:tr>
      <w:tr>
        <w:trPr>
          <w:cantSplit/>
          <w:tblHeader w:val="false"/>
        </w:trPr>
        <w:tc>
          <w:tcPr>
            <w:tcW w:type="dxa" w:w="3276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7"/>
                <w:szCs w:val="17"/>
              </w:rPr>
              <w:t xml:space="preserve">Bežné bankové úvery</w:t>
            </w:r>
          </w:p>
        </w:tc>
        <w:tc>
          <w:tcPr>
            <w:tcW w:type="dxa" w:w="1252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7"/>
                <w:szCs w:val="17"/>
              </w:rPr>
              <w:t xml:space="preserve">7 008</w:t>
            </w:r>
          </w:p>
        </w:tc>
        <w:tc>
          <w:tcPr>
            <w:tcW w:type="dxa" w:w="1252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7"/>
                <w:szCs w:val="17"/>
              </w:rPr>
              <w:t xml:space="preserve">91 392</w:t>
            </w:r>
          </w:p>
        </w:tc>
        <w:tc>
          <w:tcPr>
            <w:tcW w:type="dxa" w:w="1252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7"/>
                <w:szCs w:val="17"/>
              </w:rPr>
              <w:t xml:space="preserve">109 919</w:t>
            </w:r>
          </w:p>
        </w:tc>
        <w:tc>
          <w:tcPr>
            <w:tcW w:type="dxa" w:w="1349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7"/>
                <w:szCs w:val="17"/>
              </w:rPr>
              <w:t xml:space="preserve">117 901</w:t>
            </w:r>
          </w:p>
        </w:tc>
        <w:tc>
          <w:tcPr>
            <w:tcW w:type="dxa" w:w="1257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7"/>
                <w:szCs w:val="17"/>
              </w:rPr>
              <w:t xml:space="preserve">175 227</w:t>
            </w:r>
          </w:p>
        </w:tc>
      </w:tr>
    </w:tbl>
    <w:p>
      <w:pPr>
        <w:spacing w:after="160"/>
      </w:pPr>
      <w:r>
        <w:rPr>
          <w:rFonts w:ascii="Arial" w:cs="Arial" w:eastAsia="Arial" w:hAnsi="Arial"/>
          <w:i/>
          <w:iCs/>
          <w:color w:val="52514E"/>
          <w:sz w:val="17"/>
          <w:szCs w:val="17"/>
        </w:rPr>
        <w:t xml:space="preserve">Zdroj: Register účtovných závierok SR (registeruz.sk), IČO 47 420 171; ďalšie údaje o spoločnosti: finstat.sk/47420171. Spoločnosť je od založenia nepretržite zisková na prevádzkovej úrovni, vlastné imanie vzrástlo za päť rokov 5,4-násobne výlučne z nerozdelených ziskov, závislosť od bankového financovania je minimálna.</w:t>
      </w:r>
    </w:p>
    <w:p>
      <w:pPr>
        <w:keepNext/>
        <w:spacing w:after="60" w:before="120"/>
        <w:jc w:val="center"/>
      </w:pPr>
      <w:r>
        <w:drawing>
          <wp:inline distT="0" distB="0" distL="0" distR="0">
            <wp:extent cx="4953000" cy="23431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5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953000" cy="23431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 w:before="60"/>
        <w:jc w:val="center"/>
      </w:pPr>
      <w:r>
        <w:rPr>
          <w:rFonts w:ascii="Arial" w:cs="Arial" w:eastAsia="Arial" w:hAnsi="Arial"/>
          <w:i/>
          <w:iCs/>
          <w:color w:val="52514E"/>
          <w:sz w:val="17"/>
          <w:szCs w:val="17"/>
        </w:rPr>
        <w:t xml:space="preserve">Graf – Vývoj výnosov BauHausEurope s. r. o. 2021 – 2025 (mil. €)</w:t>
      </w:r>
    </w:p>
    <w:p>
      <w:pPr>
        <w:pStyle w:val="Heading1"/>
        <w:spacing w:after="160" w:before="360"/>
      </w:pPr>
      <w:r>
        <w:rPr>
          <w:rFonts w:ascii="Arial" w:cs="Arial" w:eastAsia="Arial" w:hAnsi="Arial"/>
          <w:b/>
          <w:bCs/>
          <w:color w:val="1F3B73"/>
          <w:sz w:val="30"/>
          <w:szCs w:val="30"/>
        </w:rPr>
        <w:t xml:space="preserve">10. Ďalšie kroky a kontakt</w:t>
      </w:r>
    </w:p>
    <w:p>
      <w:pPr>
        <w:spacing w:after="120" w:line="276"/>
        <w:jc w:val="both"/>
      </w:pPr>
      <w:r>
        <w:rPr>
          <w:rFonts w:ascii="Arial" w:cs="Arial" w:eastAsia="Arial" w:hAnsi="Arial"/>
          <w:sz w:val="21"/>
          <w:szCs w:val="21"/>
        </w:rPr>
        <w:t xml:space="preserve">Navrhujeme osobnú obhliadku areálu v novembri 2026 spojenú so stretnutím na mestskom úrade. Na stretnutie pripravíme kompletné podklady (list vlastníctva, znalecký posudok, geodetické zameranie, územnoplánovaciu informáciu, prieskumy) a po obdržaní typového projektu Merkury Market aj indikatívny rozpočet výstavby a harmonogram.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891"/>
        <w:gridCol w:w="6747"/>
      </w:tblGrid>
      <w:tr>
        <w:trPr>
          <w:cantSplit/>
          <w:tblHeader/>
        </w:trPr>
        <w:tc>
          <w:tcPr>
            <w:tcW w:type="dxa" w:w="2891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1F3B73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Údaj</w:t>
            </w:r>
          </w:p>
        </w:tc>
        <w:tc>
          <w:tcPr>
            <w:tcW w:type="dxa" w:w="6747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1F3B73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Hodnota</w:t>
            </w:r>
          </w:p>
        </w:tc>
      </w:tr>
      <w:tr>
        <w:trPr>
          <w:cantSplit/>
          <w:tblHeader w:val="false"/>
        </w:trPr>
        <w:tc>
          <w:tcPr>
            <w:tcW w:type="dxa" w:w="2891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9"/>
                <w:szCs w:val="19"/>
              </w:rPr>
              <w:t xml:space="preserve">Spoločnosť</w:t>
            </w:r>
          </w:p>
        </w:tc>
        <w:tc>
          <w:tcPr>
            <w:tcW w:type="dxa" w:w="6747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9"/>
                <w:szCs w:val="19"/>
              </w:rPr>
              <w:t xml:space="preserve">BauHausEurope s. r. o., Konventná 9, 811 03 Bratislava</w:t>
            </w:r>
          </w:p>
        </w:tc>
      </w:tr>
      <w:tr>
        <w:trPr>
          <w:cantSplit/>
          <w:tblHeader w:val="false"/>
        </w:trPr>
        <w:tc>
          <w:tcPr>
            <w:tcW w:type="dxa" w:w="2891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9"/>
                <w:szCs w:val="19"/>
              </w:rPr>
              <w:t xml:space="preserve">IČO / IČ DPH</w:t>
            </w:r>
          </w:p>
        </w:tc>
        <w:tc>
          <w:tcPr>
            <w:tcW w:type="dxa" w:w="6747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9"/>
                <w:szCs w:val="19"/>
              </w:rPr>
              <w:t xml:space="preserve">47 420 171 / SK2023873533</w:t>
            </w:r>
          </w:p>
        </w:tc>
      </w:tr>
      <w:tr>
        <w:trPr>
          <w:cantSplit/>
          <w:tblHeader w:val="false"/>
        </w:trPr>
        <w:tc>
          <w:tcPr>
            <w:tcW w:type="dxa" w:w="2891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9"/>
                <w:szCs w:val="19"/>
              </w:rPr>
              <w:t xml:space="preserve">Kontaktná osoba</w:t>
            </w:r>
          </w:p>
        </w:tc>
        <w:tc>
          <w:tcPr>
            <w:tcW w:type="dxa" w:w="6747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9"/>
                <w:szCs w:val="19"/>
              </w:rPr>
              <w:t xml:space="preserve">Bc. Ľubomír Kruk, konateľ</w:t>
            </w:r>
          </w:p>
        </w:tc>
      </w:tr>
      <w:tr>
        <w:trPr>
          <w:cantSplit/>
          <w:tblHeader w:val="false"/>
        </w:trPr>
        <w:tc>
          <w:tcPr>
            <w:tcW w:type="dxa" w:w="2891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9"/>
                <w:szCs w:val="19"/>
              </w:rPr>
              <w:t xml:space="preserve">E-mail</w:t>
            </w:r>
          </w:p>
        </w:tc>
        <w:tc>
          <w:tcPr>
            <w:tcW w:type="dxa" w:w="6747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9"/>
                <w:szCs w:val="19"/>
              </w:rPr>
              <w:t xml:space="preserve">info@bauhauseurope.de</w:t>
            </w:r>
          </w:p>
        </w:tc>
      </w:tr>
      <w:tr>
        <w:trPr>
          <w:cantSplit/>
          <w:tblHeader w:val="false"/>
        </w:trPr>
        <w:tc>
          <w:tcPr>
            <w:tcW w:type="dxa" w:w="2891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9"/>
                <w:szCs w:val="19"/>
              </w:rPr>
              <w:t xml:space="preserve">Telefón</w:t>
            </w:r>
          </w:p>
        </w:tc>
        <w:tc>
          <w:tcPr>
            <w:tcW w:type="dxa" w:w="6747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9"/>
                <w:szCs w:val="19"/>
              </w:rPr>
              <w:t xml:space="preserve">+421 904 027 703</w:t>
            </w:r>
          </w:p>
        </w:tc>
      </w:tr>
      <w:tr>
        <w:trPr>
          <w:cantSplit/>
          <w:tblHeader w:val="false"/>
        </w:trPr>
        <w:tc>
          <w:tcPr>
            <w:tcW w:type="dxa" w:w="2891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9"/>
                <w:szCs w:val="19"/>
              </w:rPr>
              <w:t xml:space="preserve">Areál</w:t>
            </w:r>
          </w:p>
        </w:tc>
        <w:tc>
          <w:tcPr>
            <w:tcW w:type="dxa" w:w="6747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9"/>
                <w:szCs w:val="19"/>
              </w:rPr>
              <w:t xml:space="preserve">Levočská 345/11, 064 01 Stará Ľubovňa – https://maps.app.goo.gl/gTJZC8ehx5vQG2zS8</w:t>
            </w:r>
          </w:p>
        </w:tc>
      </w:tr>
    </w:tbl>
    <w:p>
      <w:pPr>
        <w:keepNext/>
        <w:spacing w:after="60" w:before="500"/>
      </w:pPr>
      <w:r>
        <w:rPr>
          <w:rFonts w:ascii="Arial" w:cs="Arial" w:eastAsia="Arial" w:hAnsi="Arial"/>
          <w:sz w:val="21"/>
          <w:szCs w:val="21"/>
        </w:rPr>
        <w:t xml:space="preserve">V Bratislave, dňa 29. 10. 2026</w:t>
      </w:r>
    </w:p>
    <w:tbl>
      <w:tblPr>
        <w:tblW w:type="dxa" w:w="9638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4819"/>
        <w:gridCol w:w="4819"/>
      </w:tblGrid>
      <w:tr>
        <w:trPr>
          <w:cantSplit/>
        </w:trPr>
        <w:tc>
          <w:tcPr>
            <w:tcW w:type="dxa" w:w="4819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0"/>
              <w:bottom w:type="dxa" w:w="0"/>
              <w:right w:type="dxa" w:w="40"/>
            </w:tcMar>
            <w:vAlign w:val="bottom"/>
          </w:tcPr>
          <w:p>
            <w:pPr>
              <w:keepNext/>
              <w:spacing w:after="0"/>
            </w:pPr>
            <w:r>
              <w:drawing>
                <wp:inline distT="0" distB="0" distL="0" distR="0">
                  <wp:extent cx="1905000" cy="409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6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905000" cy="409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4819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40"/>
              <w:bottom w:type="dxa" w:w="0"/>
              <w:right w:type="dxa" w:w="0"/>
            </w:tcMar>
            <w:vAlign w:val="bottom"/>
          </w:tcPr>
          <w:p>
            <w:pPr>
              <w:keepNext/>
              <w:spacing w:after="0"/>
            </w:pPr>
            <w:r>
              <w:drawing>
                <wp:inline distT="0" distB="0" distL="0" distR="0">
                  <wp:extent cx="1428750" cy="7429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7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428750" cy="7429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keepNext/>
        <w:spacing w:after="0" w:before="0"/>
      </w:pPr>
      <w:r>
        <w:rPr>
          <w:rFonts w:ascii="Arial" w:cs="Arial" w:eastAsia="Arial" w:hAnsi="Arial"/>
          <w:sz w:val="21"/>
          <w:szCs w:val="21"/>
        </w:rPr>
        <w:t xml:space="preserve">______________________________</w:t>
      </w:r>
    </w:p>
    <w:p>
      <w:pPr>
        <w:keepNext/>
        <w:spacing w:after="0"/>
      </w:pPr>
      <w:r>
        <w:rPr>
          <w:rFonts w:ascii="Arial" w:cs="Arial" w:eastAsia="Arial" w:hAnsi="Arial"/>
          <w:b/>
          <w:bCs/>
          <w:sz w:val="21"/>
          <w:szCs w:val="21"/>
        </w:rPr>
        <w:t xml:space="preserve">BauHausEurope s. r. o.</w:t>
      </w:r>
    </w:p>
    <w:p>
      <w:pPr>
        <w:spacing w:after="0"/>
      </w:pPr>
      <w:r>
        <w:rPr>
          <w:rFonts w:ascii="Arial" w:cs="Arial" w:eastAsia="Arial" w:hAnsi="Arial"/>
          <w:sz w:val="21"/>
          <w:szCs w:val="21"/>
        </w:rPr>
        <w:t xml:space="preserve">Bc. Ľubomír Kruk, konateľ</w:t>
      </w:r>
    </w:p>
    <w:sectPr>
      <w:headerReference w:type="default" r:id="rId7"/>
      <w:footerReference w:type="default" r:id="rId8"/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Arial" w:cs="Arial" w:eastAsia="Arial" w:hAnsi="Arial"/>
        <w:color w:val="52514E"/>
        <w:sz w:val="16"/>
        <w:szCs w:val="16"/>
      </w:rPr>
      <w:t xml:space="preserve">Strana </w:t>
    </w:r>
    <w:r>
      <w:rPr>
        <w:rFonts w:ascii="Arial" w:cs="Arial" w:eastAsia="Arial" w:hAnsi="Arial"/>
        <w:color w:val="52514E"/>
        <w:sz w:val="16"/>
        <w:szCs w:val="16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9D3E3" w:sz="4" w:space="4"/>
      </w:pBdr>
      <w:jc w:val="right"/>
    </w:pPr>
    <w:r>
      <w:rPr>
        <w:rFonts w:ascii="Arial" w:cs="Arial" w:eastAsia="Arial" w:hAnsi="Arial"/>
        <w:color w:val="52514E"/>
        <w:sz w:val="15"/>
        <w:szCs w:val="15"/>
      </w:rPr>
      <w:t xml:space="preserve">Ponuka na investíciu  |  Areál Stará Pekáreň, Stará Ľubovňa  |  BauHausEurope s. r. o.  |  Dôverné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30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160" w:before="360"/>
      <w:outlineLvl w:val="0"/>
    </w:pPr>
    <w:rPr>
      <w:rFonts w:ascii="Arial" w:cs="Arial" w:eastAsia="Arial" w:hAnsi="Arial"/>
      <w:b/>
      <w:bCs/>
      <w:color w:val="1F3B73"/>
      <w:sz w:val="30"/>
      <w:szCs w:val="30"/>
    </w:rPr>
  </w:style>
  <w:style w:type="paragraph" w:styleId="Heading2">
    <w:name w:val="Heading 2"/>
    <w:basedOn w:val="Normal"/>
    <w:next w:val="Normal"/>
    <w:qFormat/>
    <w:pPr>
      <w:spacing w:after="120" w:before="240"/>
      <w:outlineLvl w:val="1"/>
    </w:pPr>
    <w:rPr>
      <w:rFonts w:ascii="Arial" w:cs="Arial" w:eastAsia="Arial" w:hAnsi="Arial"/>
      <w:b/>
      <w:bCs/>
      <w:color w:val="1F3B73"/>
      <w:sz w:val="24"/>
      <w:szCs w:val="24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50e28e86d1e56b17524665ac94c12745c1dde042.jpg"/><Relationship Id="rId10" Type="http://schemas.openxmlformats.org/officeDocument/2006/relationships/image" Target="media/0b14573bed553249a1c50434d48440bad84aabb3.jpg"/><Relationship Id="rId11" Type="http://schemas.openxmlformats.org/officeDocument/2006/relationships/image" Target="media/86eed13cad9074299e298938612a2c4f4d0b2b4c.jpg"/><Relationship Id="rId12" Type="http://schemas.openxmlformats.org/officeDocument/2006/relationships/image" Target="media/883947cf4d9d79b5e21644460c3fe4e5c7d3d2a0.jpg"/><Relationship Id="rId13" Type="http://schemas.openxmlformats.org/officeDocument/2006/relationships/image" Target="media/ee05d334edf4c606ca083ebf48bbaf6fa52d27ed.png"/><Relationship Id="rId14" Type="http://schemas.openxmlformats.org/officeDocument/2006/relationships/image" Target="media/58c0138c18503a3458ff5a8c393ac2f1a68f1dd1.png"/><Relationship Id="rId15" Type="http://schemas.openxmlformats.org/officeDocument/2006/relationships/image" Target="media/e43014770d61ccbd5005fa5d747d4deae77e67b3.png"/><Relationship Id="rId16" Type="http://schemas.openxmlformats.org/officeDocument/2006/relationships/image" Target="media/80da1517f4ea9f04054515aa9f289890a5d79713.png"/><Relationship Id="rId17" Type="http://schemas.openxmlformats.org/officeDocument/2006/relationships/image" Target="media/f6d6a02cfa7ea903371d6b8db6b70aef4aca2208.png"/><Relationship Id="rId1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PONUKA NA INVESTÍCIU – Areál „Stará Pekáreň“, Levočská 11, Stará Ľubovňa</dc:title>
  <dc:creator>BauHausEurope s. r. o.</dc:creator>
  <cp:lastModifiedBy>Un-named</cp:lastModifiedBy>
  <cp:revision>1</cp:revision>
  <dcterms:created xsi:type="dcterms:W3CDTF">2026-10-29T14:54:58.726Z</dcterms:created>
  <dcterms:modified xsi:type="dcterms:W3CDTF">2026-10-29T14:54:58.727Z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