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60" w:before="120"/>
        <w:jc w:val="left"/>
      </w:pPr>
      <w:r>
        <w:drawing>
          <wp:inline distT="0" distB="0" distL="0" distR="0">
            <wp:extent cx="5905500" cy="138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500"/>
      </w:pPr>
      <w:r>
        <w:rPr>
          <w:rFonts w:ascii="Arial" w:cs="Arial" w:eastAsia="Arial" w:hAnsi="Arial"/>
          <w:b/>
          <w:bCs/>
          <w:color w:val="FF4000"/>
          <w:sz w:val="26"/>
          <w:szCs w:val="26"/>
        </w:rPr>
        <w:t xml:space="preserve">OFERTA INWESTYCYJNA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10222"/>
          <w:sz w:val="42"/>
          <w:szCs w:val="42"/>
        </w:rPr>
        <w:t xml:space="preserve">Teren „Stará Pekáreň”, Levočská 11, Stará Ľubovňa (Słowacja)</w:t>
      </w:r>
    </w:p>
    <w:p>
      <w:pPr>
        <w:spacing w:after="240"/>
      </w:pPr>
      <w:r>
        <w:rPr>
          <w:rFonts w:ascii="Arial" w:cs="Arial" w:eastAsia="Arial" w:hAnsi="Arial"/>
          <w:color w:val="010222"/>
          <w:sz w:val="26"/>
          <w:szCs w:val="26"/>
        </w:rPr>
        <w:t xml:space="preserve">Sprzedaż działki 10 789 m² pod centrum handlowe Merkury Market oraz budowa „pod klucz”</w:t>
      </w:r>
    </w:p>
    <w:p>
      <w:pPr>
        <w:keepNext/>
        <w:spacing w:after="60" w:before="120"/>
        <w:jc w:val="left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300"/>
      </w:pPr>
      <w:r>
        <w:rPr>
          <w:rFonts w:ascii="Arial" w:cs="Arial" w:eastAsia="Arial" w:hAnsi="Arial"/>
          <w:b/>
          <w:bCs/>
          <w:color w:val="010222"/>
          <w:sz w:val="21"/>
          <w:szCs w:val="21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Merkury Market Spółka z ograniczoną odpowiedzialnością Sp.k., Krosno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10222"/>
          <w:sz w:val="21"/>
          <w:szCs w:val="21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BauHausEurope s. r. o., Konventná 9, 811 03 Bratysława, Republika Słowacka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Nr rej. (IČO) 47 420 171  |  Bc. Ľubomír Kruk, prezes zarządu (konateľ)  |  info@bauhauseurope.de  |  +421 904 027 703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p>
      <w:pPr>
        <w:spacing w:after="60" w:before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r>
        <w:br w:type="page"/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 Teren został w 2024 r. wyceniony operatem szacunkowym na 1 850 000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części: sprzedaż terenu jest podstawą, a budowa i przygotowanie są usługami opcjonalnymi, które Merkury Market zamawia i finansuje jako inwestor: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po sprzedaży terenu BauHausEurope jako generalny wykonawca, na koszt inwestora Merkury Market, zapewni rozbiórkę własnym sprzętem (w tym kruszarką betonu), roboty ziemne, budowę sklepu, parkingu i sieci – na podstawie umowy o roboty budowlane ze stałą ceną i terminem.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 wg KW LV nr 1382 (ZBGIS podaje dla działki 775/1 powierzchnię 7 389 m²),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jednostka urbanistyczna V06; teren wielofunkcyjny pod zabudowę mieszkaniową wielorodzinną i usługi (informacja planistyczna miasta nr MsÚ-SL-151/195/2025 z 9.01.2026); maks. 8 kondygnacji, zabudowa do 50 %, zieleń min. 20 % – zob. część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nr 87/2024, wypis z księgi wieczystej i mapa katastralna, pomiar geodezyjny, informacja planistyczna miasta nr MsÚ-SL-151/195/2025 (9.01.2026), badania geologiczno-inżynierskie i hydrogeologiczne (wykonane, podłoże odpowiednie pod zabudowę), dokumentacja projektowa istniejących obiektów, pozwolenie na budowę i decyzja o odbiorze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Zdjęcie satelitarne: położenie terenu (czerwony punkt) w południowej części Starej Ľubovni przy ul. Levočskiej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Zdjęcie satelitarne terenu: hala produkcyjna, budynek administracyjny, obiekty magazynowe i place utwardzone między ul. Levočską a rzeką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Granice terenu według mapy katastralnej: działki 775/1 (7 389 m² wg ZBGIS), 775/2, 775/3, 775/4 i 775/5, właściciel BauHausEurope s. r. o., udział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4 – Położenie terenu na mapie miasta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5 – Szersze otoczenie: Stará Ľubovňa przy drodze I/68 między Preszowem a granicą polską (OpenStreetMap)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3. Dane z operatu szacunkowego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Nieruchomość została wyceniona operatem szacunkowym nr 87/2024 (inż. Peter Repčák, biegły sądowy w dziedzinie budownictwa, specjalność wycena nieruchomości, 22.07.2024). Operat opiera się na oględzinach i pomiarze z 4.07.2024, wypisie z księgi wieczystej LV nr 1382 i kopii mapy katastralnej. Pierwotna piekarnia powstała w 1953 r., teren został kompleksowo przebudowany na podstawie pozwolenia na budowę z 1984 r. (projekt Potravinoprojekt Bratysława) i odebrany w 1992 r.; obiekty są użytkowane od 1989 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Obiekt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Kubatura (m³)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Pow. zabudowy (m²)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Kondygn.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Konstrukcja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Wartość rynkowa (EUR)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administracyjny (część trzykondygnacyjna, nr 345)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płyty z betonu komórkowego, dach płaski; parter wyremontowany, nowe okna PCV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Hala produkcyjna (część parterowa)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płaski, sieci wewnętrzne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produkcyjno-magazynowy (część czterokondygnacyjna)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Garaże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murowane / montowane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Kotłownia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Gospodarka olejowa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Stacja transformatorowa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Ogrodzenie, przyłącza (woda, kanalizacja sanitarna i deszczowa, gaz, energia), studnie, szambo, place betonowe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zagospodarowanie zewnętrzne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Budynki i budowle razem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Działki nr 775/1 – 775/5 (10 789 m², metoda zróżnicowania lokalizacyjnego, 58,27 EUR/m²)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tereny zabudowane i podwórza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Wartość rynkowa ogółem (w zaokrągleniu 1 850 000 EUR)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operat szacunkowy nr 87/2024, rekapitulacja wartości rynkowej (metoda kombinowana dla budynków, metoda zróżnicowania lokalizacyjnego dla gruntów, poziom cen z VAT). Wartość słownie: jeden milion osiemset pięćdziesiąt tysięcy euro.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Pełny operat (39 stron, w tym zestawienie najemców i kosztów za 2023 r., pozwolenie na budowę i decyzja o odbiorze) udostępnimy podczas wizji lokalnej. Na życzenie kupującego zostanie sporządzony zaktualizowany operat na dzień transakcji.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4. Informacja planistyczna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Urząd Miasta Stará Ľubovňa, wydział budownictwa, rozwoju przestrzennego i środowiska, wydał dla działek C KN nr 775/1, 775/2, 775/3, 775/4 i 775/5, obręb Stará Ľubovňa (KW LV nr 1382) informację planistyczną – potwierdzenie przeznaczenia terenu, nr MsÚ-SL-151/195/2025 z dnia 9.01.2026 (prowadząca: inż. Anna Hrebíková, kierownik wydziału). Zgodnie z obowiązującą dokumentacją planistyczną miasta w brzmieniu zmian i uzupełnień nr 1, 2, 3 i 4 działki leżą w jednostce urbanistycznej V06 i są przeznaczone jako teren wielofunkcyjny pod zabudowę mieszkaniową wielorodzinną oraz usługi publiczne i komercyjne w zakresie projektu. Usługi, do których plan zalicza również centra handlowe, są zatem funkcją dopuszczalną. Wiążące ustalenia dla tego terenu: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Przeznaczenie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wielofunkcyjny pod zabudowę mieszkaniową wielorodzinną oraz usługi; tereny wielofunkcyjne to obszary o co najmniej dwóch wzajemnie uzupełniających się funkcjach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Wysokość zabudowy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maks. 8 kondygnacji nadziemnych łącznie z poddaszem, niedopuszczalna kondygnacja cofnięta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zabudowy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budynkami do 50 % powierzchni działki (tj. do ok. 5 390 m² powierzchni zabudowy)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Parkowanie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lokali niemieszkalnych według właściwej normy STN; przy działalności gospodarczej na terenach usług miejsca postojowe wg STN 73 6110 zawsze na własnej działce; dla mieszkań 2 miejsca / 1 mieszkanie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Zieleń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wskaźnik zieleni min. 20 % powierzchni działki (zielone dachy i ściany nie są wliczane)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Pozostałe wymagania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zadaszone i zamykane miejsce na odpady jako część projektu; ocena hałasu drogowego przed budową; brak nietypowych kolorów jako dominujących na elewacjach, przy kilku obiektach jednolita kolorystyka; przyłączenie do istniejących sieci ulicznych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Decyzja lokalizacyjna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terenu wydana jest ważna decyzja lokalizacyjna dla nowej zabudowy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Stanowisko miasta ma charakter informacyjny i nie zastępuje decyzji ani uzgodnień organów w postępowaniu o pozwolenie na budowę. Kopię informacji planistycznej w pełnym brzmieniu dołączymy do dokumentacji na wizję lokalną. Dla sklepu o powierzchni 3 000 – 5 000 m² z parkingiem na własnej działce wskaźniki zabudowy (50 %) i zieleni (20 %) są możliwe do spełnienia.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5.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6.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wykonawca; inwestorem i zamawiającym jest Merkury Market, cena robót płatna według umowy o roboty budowlane (fakturowanie etapowe)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Pozwolenia i przygotowanie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usługa dla Merkury Market przed budową i w jej trakcie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przygotowanie zamierzenia dla miasta, wybór architekta, projekt, postępowanie lokalizacyjne i pozwolenie na budowę, zarządzanie projektem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szybsze pozwolenia i lokalny partner znający miasto, urzędy i dostawców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7.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i projektantów,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geologiczno-inżynierskie i hydrogeologiczne zostały wykonane z wynikiem pozytywnym – podłoże nadaje się do posadowienia budynku bez nadzwyczajnych środków.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8.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informacja planistyczna),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9.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Wskaźniki finansowe spółki według rocznych sprawozdań finansowych opublikowanych w słowackim Rejestrze Sprawozdań Finansowych (w EUR):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Wskaźnik (EUR)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Przychody z działalności operacyjnej (obrót)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z działalności operacyjnej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(wynik operacyjny + amortyzacja)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netto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Aktywa razem (netto)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 tym rzeczowe aktywa trwałe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Kapitał własny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Bieżące kredyty bankowe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słowacki Rejestr Sprawozdań Finansowych (registeruz.sk), IČO 47 420 171; dalsze dane o spółce: finstat.sk/47420171. Spółka od założenia jest nieprzerwanie rentowna na poziomie operacyjnym, kapitał własny wzrósł w ciągu pięciu lat 5,4-krotnie wyłącznie z zysków zatrzymanych, a zależność od finansowania bankowego jest minimalna.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Wykres – Przychody BauHausEurope s. r. o. w latach 2021 – 2025 (mln EUR)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10.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informację planistyczną,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+421 904 027 703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5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4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9050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0"/>
              <w:right w:type="dxa" w:w="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4287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after="0" w:before="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BauHausEurope s. r. o.  |  www.bauhauseurope.sk  |  Strona </w:t>
    </w:r>
    <w:r>
      <w:rPr>
        <w:rFonts w:ascii="Arial" w:cs="Arial" w:eastAsia="Arial" w:hAnsi="Arial"/>
        <w:b/>
        <w:bCs/>
        <w:color w:val="FF4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400"/>
      <w:gridCol w:w="7238"/>
    </w:tblGrid>
    <w:tr>
      <w:tc>
        <w:tcPr>
          <w:tcW w:type="dxa" w:w="2400"/>
          <w:tcBorders>
            <w:top w:val="none" w:color="FFFFFF" w:sz="0"/>
            <w:left w:val="none" w:color="FFFFFF" w:sz="0"/>
            <w:bottom w:val="single" w:color="FF4000" w:sz="6"/>
            <w:right w:val="none" w:color="FFFFFF" w:sz="0"/>
          </w:tcBorders>
          <w:tcMar>
            <w:top w:type="dxa" w:w="0"/>
            <w:left w:type="dxa" w:w="0"/>
            <w:bottom w:type="dxa" w:w="60"/>
            <w:right w:type="dxa" w:w="0"/>
          </w:tcMar>
          <w:vAlign w:val="bottom"/>
        </w:tcPr>
        <w:p>
          <w:pPr>
            <w:spacing w:after="0"/>
          </w:pPr>
          <w:r>
            <w:drawing>
              <wp:inline distT="0" distB="0" distL="0" distR="0">
                <wp:extent cx="857250" cy="2571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257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38"/>
          <w:tcBorders>
            <w:top w:val="none" w:color="FFFFFF" w:sz="0"/>
            <w:left w:val="none" w:color="FFFFFF" w:sz="0"/>
            <w:bottom w:val="single" w:color="FF4000" w:sz="6"/>
            <w:right w:val="none" w:color="FFFFFF" w:sz="0"/>
          </w:tcBorders>
          <w:tcMar>
            <w:top w:type="dxa" w:w="0"/>
            <w:left w:type="dxa" w:w="0"/>
            <w:bottom w:type="dxa" w:w="60"/>
            <w:right w:type="dxa" w:w="0"/>
          </w:tcMar>
          <w:vAlign w:val="bottom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2514E"/>
              <w:sz w:val="15"/>
              <w:szCs w:val="15"/>
            </w:rPr>
            <w:t xml:space="preserve">Oferta inwestycyjna  |  Teren „Stará Pekáreň”, Stará Ľubovňa  |  BauHausEurope s. r. o.  |  Poufne</w:t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40" w:hanging="300"/>
      </w:pPr>
      <w:rPr>
        <w:color w:val="FF4000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1022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1022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f7a148680c300274489dc1a6a09c78e2d0a6f329.png"/><Relationship Id="rId12" Type="http://schemas.openxmlformats.org/officeDocument/2006/relationships/image" Target="media/50e28e86d1e56b17524665ac94c12745c1dde042.jpg"/><Relationship Id="rId13" Type="http://schemas.openxmlformats.org/officeDocument/2006/relationships/image" Target="media/0b14573bed553249a1c50434d48440bad84aabb3.jpg"/><Relationship Id="rId14" Type="http://schemas.openxmlformats.org/officeDocument/2006/relationships/image" Target="media/86eed13cad9074299e298938612a2c4f4d0b2b4c.jpg"/><Relationship Id="rId15" Type="http://schemas.openxmlformats.org/officeDocument/2006/relationships/image" Target="media/883947cf4d9d79b5e21644460c3fe4e5c7d3d2a0.jpg"/><Relationship Id="rId16" Type="http://schemas.openxmlformats.org/officeDocument/2006/relationships/image" Target="media/ee05d334edf4c606ca083ebf48bbaf6fa52d27ed.png"/><Relationship Id="rId17" Type="http://schemas.openxmlformats.org/officeDocument/2006/relationships/image" Target="media/58c0138c18503a3458ff5a8c393ac2f1a68f1dd1.png"/><Relationship Id="rId18" Type="http://schemas.openxmlformats.org/officeDocument/2006/relationships/image" Target="media/c4fe50bd81a6ce78323e951886a9636e0adcf4cb.png"/><Relationship Id="rId19" Type="http://schemas.openxmlformats.org/officeDocument/2006/relationships/image" Target="media/80da1517f4ea9f04054515aa9f289890a5d79713.png"/><Relationship Id="rId20" Type="http://schemas.openxmlformats.org/officeDocument/2006/relationships/image" Target="media/f6d6a02cfa7ea903371d6b8db6b70aef4aca220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2f6235e033c7a9afca0f8c2d2303ee8c98a6c61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2026-10-29T14:58:51.796Z</dcterms:created>
  <dcterms:modified xsi:type="dcterms:W3CDTF">2026-10-29T14:58:51.797Z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