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(wykonane, podłoże odpowiednie pod zabudowę),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geologiczno-inżynierskie i hydrogeologiczne zostały wykonane z wynikiem pozytywnym – podłoże nadaje się do posadowienia budynku bez nadzwyczajnych środków.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a6b03bcaa466a09f94075bbade4f7cb5494cd905.png"/><Relationship Id="rId16" Type="http://schemas.openxmlformats.org/officeDocument/2006/relationships/image" Target="media/80da1517f4ea9f04054515aa9f289890a5d79713.png"/><Relationship Id="rId17" Type="http://schemas.openxmlformats.org/officeDocument/2006/relationships/image" Target="media/f6d6a02cfa7ea903371d6b8db6b70aef4aca220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2026-10-29T14:51:39.830Z</dcterms:created>
  <dcterms:modified xsi:type="dcterms:W3CDTF">2026-10-29T14:51:39.831Z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