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600"/>
      </w:pPr>
      <w:r>
        <w:rPr>
          <w:rFonts w:ascii="Arial" w:cs="Arial" w:eastAsia="Arial" w:hAnsi="Arial"/>
          <w:b/>
          <w:bCs/>
          <w:color w:val="2A78D6"/>
          <w:sz w:val="28"/>
          <w:szCs w:val="28"/>
        </w:rPr>
        <w:t xml:space="preserve">OFERTA INWESTYCYJNA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F3B73"/>
          <w:sz w:val="44"/>
          <w:szCs w:val="44"/>
        </w:rPr>
        <w:t xml:space="preserve">Teren „Stará Pekáreň”, Levočská 11, Stará Ľubovňa (Słowacja)</w:t>
      </w:r>
    </w:p>
    <w:p>
      <w:pPr>
        <w:spacing w:after="300"/>
      </w:pPr>
      <w:r>
        <w:rPr>
          <w:rFonts w:ascii="Arial" w:cs="Arial" w:eastAsia="Arial" w:hAnsi="Arial"/>
          <w:color w:val="1F3B73"/>
          <w:sz w:val="28"/>
          <w:szCs w:val="28"/>
        </w:rPr>
        <w:t xml:space="preserve">Sprzedaż działki 10 789 m² pod centrum handlowe Merkury Market oraz budowa „pod klucz”</w:t>
      </w:r>
    </w:p>
    <w:p>
      <w:pPr>
        <w:pBdr>
          <w:bottom w:val="single" w:color="2A78D6" w:sz="12" w:space="8"/>
        </w:pBdr>
        <w:spacing w:after="100"/>
      </w:pPr>
      <w:r>
        <w:rPr>
          <w:rFonts w:ascii="Arial" w:cs="Arial" w:eastAsia="Arial" w:hAnsi="Arial"/>
        </w:rPr>
        <w:t xml:space="preserve"/>
      </w:r>
    </w:p>
    <w:p>
      <w:pPr>
        <w:spacing w:after="60" w:before="4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Dla: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Merkury Market Spółka z ograniczoną odpowiedzialnością Sp.k., Krosno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Pan Marcin Oleksy, Manager ds. ekspansji, tel. 605 667 609</w:t>
      </w:r>
    </w:p>
    <w:p>
      <w:p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Oferent: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>BauHausEurope s. r. o., Konventná 9, 811 03 Bratysława, Republika Słowacka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Nr rej. (IČO) 47 420 171  |  Bc. Ľubomír Kruk, prezes zarządu (konateľ)  |  info@bauhauseurope.de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Bratysława, 29.10.2026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Poufne – wyłącznie dla adresata. Oferta ma charakter niewiążący i stanowi podstawę do negocjacji.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1. Streszczenie oferty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jest wyłącznym właścicielem zamkniętego terenu dawnej piekarni przy ulicy Levočskiej w Starej Ľubovni o łącznej powierzchni 10 789 m². Teren leży przy głównym wjeździe do miasta od strony Preszowa i Popradu, nad rzeką Jakubianka, naprzeciwko szpitala powiatowego, i posiada pełne uzbrojenie wraz z własną stacją transformatorową. Oferujemy firmie Merkury Market ten teren jako lokalizację nowego centrum handlowego w mieście powiatowym, w którym tego formatu sklepu dotychczas brakuje. Teren został w 2024 r. wyceniony operatem szacunkowym na 1 850 000 EUR.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Oferta składa się z trzech części: sprzedaż terenu jest podstawą, a budowa i przygotowanie są usługami opcjonalnymi, które Merkury Market zamawia i finansuje jako inwestor: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 – Sprzedaż terenu: </w:t>
      </w:r>
      <w:r>
        <w:rPr>
          <w:rFonts w:ascii="Arial" w:cs="Arial" w:eastAsia="Arial" w:hAnsi="Arial"/>
          <w:sz w:val="21"/>
          <w:szCs w:val="21"/>
        </w:rPr>
        <w:t xml:space="preserve">nabycie działki z zabudowaniami (10 789 m²) na wyłączną własność Merkury Market.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 – Budowa „pod klucz”: </w:t>
      </w:r>
      <w:r>
        <w:rPr>
          <w:rFonts w:ascii="Arial" w:cs="Arial" w:eastAsia="Arial" w:hAnsi="Arial"/>
          <w:sz w:val="21"/>
          <w:szCs w:val="21"/>
        </w:rPr>
        <w:t xml:space="preserve">po sprzedaży terenu BauHausEurope jako generalny wykonawca, na koszt inwestora Merkury Market, zapewni rozbiórkę własnym sprzętem (w tym kruszarką betonu), roboty ziemne, budowę sklepu, parkingu i sieci – na podstawie umowy o roboty budowlane ze stałą ceną i terminem.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 – Pozwolenia i przygotowanie: </w:t>
      </w:r>
      <w:r>
        <w:rPr>
          <w:rFonts w:ascii="Arial" w:cs="Arial" w:eastAsia="Arial" w:hAnsi="Arial"/>
          <w:sz w:val="21"/>
          <w:szCs w:val="21"/>
        </w:rPr>
        <w:t xml:space="preserve">zarządzanie projektem, wybór architekta, postępowanie lokalizacyjne i pozwolenie na budowę oraz kontakty z miastem, z którym od lat utrzymujemy dobre relacje, również z kierownictwem miasta.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2. Nieruchomość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Adres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Ľubovňa, Republika Słowacka (GPS 49.295794, 20.690312)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Właściciel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udział 1/1 (księga wieczysta LV nr 1382, obręb Stará Ľubovňa), nabycie umową kupna w 2022 r.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Działki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nr KN-C 775/1 (7 415 m²), 775/2 (2 608 m²), 775/3 (598 m²), 775/4 (111 m²), 775/5 (57 m²); łącznie 10 789 m², rodzaj: tereny zabudowane i podwórza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Zabudowania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trzykondygnacyjny budynek administracyjny (nr 345), parterowa hala produkcyjna (powierzchnia zabudowy 1 696 m²), czterokondygnacyjny budynek produkcyjno-magazynowy, garaże, kotłownia, gospodarka olejowa, stacja transformatorowa; łącznie ok. 3 190 m² powierzchni zabudowy; obiekty z lat 1986 – 1992 przeznaczone do rozbiórki lub częściowego wykorzystania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Uzbrojenie terenu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własne przyłącze wody, kanalizacja sanitarna i deszczowa, przyłącze gazu, przyłącze elektryczne i własna stacja transformatorowa; utwardzone place betonowe, ogrodzenie terenu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Dojazd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bezpośrednio z ulicy Levočskiej (droga III/3146 w mieście, łącząca się z drogą krajową I/68 Preszów – Stará Ľubovňa – Polska); istniejący wjazd od strony południowej; teren lekko nachylony, różnica wysokości ok. 5,9 m w poprzek działki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Planowanie przestrzenne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obszar zabudowany miasta, istniejący teren produkcyjno-magazynowy; przeznaczenie według planu miasta i ważna decyzja lokalizacyjna – zob. część 4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Obecne użytkowanie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magazyny i punkty handlowe w najmie; teren może zostać przekazany bez najemców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Stan prawny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bez służebności; hipoteka banku finansującego zostanie spłacona z ceny sprzedaży przy przeniesieniu własności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Dostępna dokumentacja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operat szacunkowy nr 87/2024, wypis z księgi wieczystej i mapa katastralna, pomiar geodezyjny, informacja planistyczna miasta, badania geologiczno-inżynierskie i hydrogeologiczne (w toku), dokumentacja projektowa istniejących obiektów, pozwolenie na budowę i decyzja o odbiorze</w:t>
            </w:r>
          </w:p>
        </w:tc>
      </w:tr>
    </w:tbl>
    <w:p>
      <w:pPr>
        <w:spacing w:after="120"/>
      </w:pP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676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1 – Zdjęcie satelitarne: położenie terenu (czerwony punkt) w południowej części Starej Ľubovni przy ul. Levočskiej (ortofoto GKÚ/NLC, Esri World Imagery)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387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2 – Zdjęcie satelitarne terenu: hala produkcyjna, budynek administracyjny, obiekty magazynowe i place utwardzone między ul. Levočską a rzeką Jakubianka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3 – Położenie terenu na mapie miasta (OpenStreetMap)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342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Rys. 4 – Szersze otoczenie: Stará Ľubovňa przy drodze I/68 między Preszowem a granicą polską (OpenStreetMap)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3. Dane z operatu szacunkowego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Nieruchomość została wyceniona operatem szacunkowym nr 87/2024 (inż. Peter Repčák, biegły sądowy w dziedzinie budownictwa, specjalność wycena nieruchomości, 22.07.2024). Operat opiera się na oględzinach i pomiarze z 4.07.2024, wypisie z księgi wieczystej LV nr 1382 i kopii mapy katastralnej. Pierwotna piekarnia powstała w 1953 r., teren został kompleksowo przebudowany na podstawie pozwolenia na budowę z 1984 r. (projekt Potravinoprojekt Bratysława) i odebrany w 1992 r.; obiekty są użytkowane od 1989 r.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349"/>
        <w:gridCol w:w="1349"/>
        <w:gridCol w:w="963"/>
        <w:gridCol w:w="1542"/>
        <w:gridCol w:w="1159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Obiekt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Kubatura (m³)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Pow. zabudowy (m²)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Kondygn.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Konstrukcja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Wartość rynkowa (EUR)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Budynek administracyjny (część trzykondygnacyjna, nr 345)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3 893,62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404,21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płyty z betonu komórkowego, dach płaski; parter wyremontowany, nowe okna PCV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326 171,99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Hala produkcyjna (część parterowa)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13 050,14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1 696,14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dach płaski, sieci wewnętrzne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428 170,32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Budynek produkcyjno-magazynowy (część czterokondygnacyjna)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5 655,36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327,50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prefabrykowany szkielet żelbetowy, dach płaski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320 165,36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Garaże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3 511,66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445,31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murowane / montowane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28 860,05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Kotłownia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1 106,17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152,90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35 164,98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Gospodarka olejowa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529,86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109,02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19 377,16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Stacja transformatorowa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255,12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56,07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murowana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14 647,85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Ogrodzenie, przyłącza (woda, kanalizacja sanitarna i deszczowa, gaz, energia), studnie, szambo, place betonowe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zagospodarowanie zewnętrzne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52 832,89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Budynki i budowle razem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28 001,93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3 191,15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1 225 390,60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Działki nr 775/1 – 775/5 (10 789 m², metoda zróżnicowania lokalizacyjnego, 58,27 EUR/m²)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10 789</w:t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–</w:t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tereny zabudowane i podwórza</w:t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628 675,03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Wartość rynkowa ogółem (w zaokrągleniu 1 850 000 EUR)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96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/>
            </w:r>
          </w:p>
        </w:tc>
        <w:tc>
          <w:tcPr>
            <w:tcW w:type="dxa" w:w="11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1 854 065,63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Źródło: operat szacunkowy nr 87/2024, rekapitulacja wartości rynkowej (metoda kombinowana dla budynków, metoda zróżnicowania lokalizacyjnego dla gruntów, poziom cen z VAT). Wartość słownie: jeden milion osiemset pięćdziesiąt tysięcy euro.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Pełny operat (39 stron, w tym zestawienie najemców i kosztów za 2023 r., pozwolenie na budowę i decyzja o odbiorze) udostępnimy podczas wizji lokalnej. Na życzenie kupującego zostanie sporządzony zaktualizowany operat na dzień transakcji.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4. Informacja planistyczna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Plan zagospodarowania przestrzennego miasta Stará Ľubovňa (ÚPN mesta, opracowanie ARLAND s. r. o., Spišská Nová Ves; część wiążąca z lipca 2015 r.) zalicza teren do obszaru zabudowanego miasta jako istniejący teren produkcyjno-magazynowy w dolinie Jakubianki przy południowym wjeździe do miasta. Dla zamierzenia centrum handlowego istotne są następujące ustalenia części wiążącej: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Tereny usług publicznych i komercyjnych (OV)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 służy podstawowym i wyższym usługom; plan wprost wymienia tereny centrów handlowych wśród terenów usług; dopuszczalne są obiekty handlu detalicznego i drobnych usług, administracja, infrastruktura techniczna, zieleń publiczna i place zabaw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Transformacja terenów produkcyjnych (PFovv)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plan przewiduje przekształcanie dawnych terenów produkcyjnych w tereny wielofunkcyjne usługi – produkcja z uzupełniającymi usługami handlowymi i administracyjnymi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Ustalenie 1.1.1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miasto jako centrum regionalne wyznacza tereny usług podstawowych i wyższych również dla obszaru oddziaływania powiatu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Ustalenie 1.2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 centrum miasta i centrach dzielnicowych rewitalizować usługi handlu i usług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Decyzja lokalizacyjna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dla terenu wydana jest ważna decyzja lokalizacyjna dla nowej zabudowy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Wiążącą informację planistyczną dla działek 775/1 – 775/5 wydaje Miasto Stará Ľubovňa (urząd budowlany) na wniosek właściciela; BauHausEurope wystąpi o nią niezwłocznie po potwierdzeniu zainteresowania Merkury Market i dołączy ją do dokumentacji na wizję lokalną wraz ze stanowiskiem miasta wobec zamierzenia centrum handlowego.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5. Lokalizacja i rynek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Stará Ľubovňa to miasto powiatowe liczące około 15 800 mieszkańców, z powiatem o około 53 000 mieszkańców. Przez miasto przebiega międzynarodowa droga I/68 Preszów – Stará Ľubovňa – Mníšek nad Popradom – Polska; przejście graniczne z mostem do Piwnicznej-Zdroju znajduje się około 15 km od terenu. Nieruchomość leży przy ulicy Levočskiej, głównym wjeździe do miasta od strony Preszowa, Popradu i Lewoczy, w bezpośrednim sąsiedztwie szpitala powiatowego, osiedli mieszkaniowych i komunikacji autobusowej, kilka minut pieszo od centrum.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Obszar oddziaływania obejmuje poza miastem uzdrowisko Vyšné Ružbachy, tereny rekreacyjne wokół Zamku Lubowelskiego oraz przygraniczne gminy polskie (Piwniczna-Zdrój, Muszyna), z których klienci regularnie przyjeżdżają na zakupy na Słowację. Według naszego rozeznania w mieście i powiecie brakuje wielkopowierzchniowego sklepu z materiałami budowlanymi, podłogami i meblami w formacie Merkury Market; najbliższe porównywalne sklepy znajdują się w Preszowie i Popradzie, w odległości 50 – 60 km.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Mieszkańcy miasta / powiatu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ok. 15 800 / 53 000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Droga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I/68 Preszów – Stará Ľubovňa – Polska; ul. Levočská = główny wjazd do miasta od południa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Odległości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Preszów 65 km, Poprad 55 km, Piwniczna-Zdrój 15 km, Nowy Sącz 45 km, Krosno 170 km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Sąsiedztwo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szpital, strefy mieszkaniowe, obiekty wielofunkcyjne, nabrzeże Jakubianki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Powierzchnia działki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10 789 m² – odpowiednia dla sklepu 3 000 – 5 000 m² z parkingiem na 150 – 200 miejsc i placem dostaw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6. Warianty współpracy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2313"/>
        <w:gridCol w:w="3276"/>
        <w:gridCol w:w="2507"/>
      </w:tblGrid>
      <w:tr>
        <w:trPr>
          <w:cantSplit/>
          <w:tblHeader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Wariant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Zakres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zapewnia BauHausEurope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 zyskuje Merkury Market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 – Sprzedaż terenu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przeniesienie własności działek 10 789 m² i zabudowań na Merkury Market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przekazanie bez najemców, wykreślenie hipoteki, współpraca przy wpisie do katastru; na życzenie rozbiórka przed przeniesieniem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własna działka przy głównej trasie, uzbrojona, bez obciążeń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 – Budowa „pod klucz”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wariant A + BauHausEurope jako generalny wykonawca; inwestorem i zamawiającym jest Merkury Market, cena robót płatna według umowy o roboty budowlane (fakturowanie etapowe)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rozbiórka własnym sprzętem (żuraw, samochody ciężarowe, maszyny rozbiórkowe, kruszarka betonu – kruszywo wykorzystane do zasypek bezpośrednio na budowie), roboty ziemne, stan surowy hali, elewacja, dach, instalacje wewnętrzne, parking, przyłącza, zieleń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jeden partner za działkę i budowę, stała cena i termin, oszczędność na wywozie gruzu i transporcie</w:t>
            </w:r>
          </w:p>
        </w:tc>
      </w:tr>
      <w:tr>
        <w:trPr>
          <w:cantSplit/>
          <w:tblHeader w:val="false"/>
        </w:trPr>
        <w:tc>
          <w:tcPr>
            <w:tcW w:type="dxa" w:w="15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C – Pozwolenia i przygotowanie</w:t>
            </w:r>
          </w:p>
        </w:tc>
        <w:tc>
          <w:tcPr>
            <w:tcW w:type="dxa" w:w="23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usługa dla Merkury Market przed budową i w jej trakcie</w:t>
            </w:r>
          </w:p>
        </w:tc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przygotowanie zamierzenia dla miasta, wybór architekta, projekt, postępowanie lokalizacyjne i pozwolenie na budowę, zarządzanie projektem</w:t>
            </w:r>
          </w:p>
        </w:tc>
        <w:tc>
          <w:tcPr>
            <w:tcW w:type="dxa" w:w="25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szybsze pozwolenia i lokalny partner znający miasto, urzędy i dostawców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Cena sprzedaży terenu oraz cena robót budowlanych będą przedmiotem negocjacji po wizji lokalnej i doprecyzowaniu założeń (wielkość sklepu, liczba miejsc parkingowych, standard). Chętnie przygotujemy wstępny kosztorys w ciągu 3 tygodni od otrzymania projektu typowego Merkury Market.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7. Co możemy zapewnić dodatkowo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Pozwolenia: przygotowanie zamierzenia dla miasta, postępowanie lokalizacyjne i pozwolenie na budowę, w tym uzgodnienia z organami; od lat utrzymujemy poprawne relacje z miastem Stará Ľubovňa i jego kierownictwem.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Architekt i projektant: wybór i koordynacja architekta i projektantów, konstrukcja, ochrona przeciwpożarowa, obsługa komunikacyjna.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Własny sprzęt: żuraw samochodowy, samochody ciężarowe, maszyny rozbiórkowe i mobilna kruszarka – rozbiórkę i roboty ziemne możemy rozpocząć bezpośrednio po podpisaniu umowy, bez oczekiwania na podwykonawców.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Potencjał wykonawczy: własne zespoły budowlane z wieloletnim doświadczeniem na budowach dla niemieckich generalnych wykonawców (stany surowe, betonowanie, konstrukcje murowane i montowane, elewacje, suche zabudowy, prace wykończeniowe).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Sieci i media: istniejące przyłącza wody, kanalizacji, gazu i energii elektrycznej oraz własna stacja transformatorowa skracają czas przygotowania; badania podłoża są w toku.</w:t>
      </w:r>
    </w:p>
    <w:p>
      <w:pPr>
        <w:pStyle w:val="ListParagraph"/>
        <w:numPr>
          <w:ilvl w:val="0"/>
          <w:numId w:val="2"/>
        </w:numPr>
        <w:spacing w:after="8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Znajomość lokalna: zaplecze budowlane w regionie, znajomość lokalnych dostawców, urzędów i rynku pracy.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8. Orientacyjny harmonogram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Okres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Krok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11/2026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wizja lokalna, przekazanie dokumentacji (operat, pomiar, informacja planistyczna), pierwsze rozmowy o cenie i zakresie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12/2026 – 1/2027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list intencyjny, due diligence, uzgodnienie wariantu współpracy (A / B / C)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 kw.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umowa sprzedaży i umowa o roboty budowlane; rozpoczęcie rozbiórki (2 – 3 miesiące)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II – IV kw. 2027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projekt, postępowanie lokalizacyjne i pozwolenie na budowę, zmiana planu zagospodarowania we współpracy z miastem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2028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budowa sklepu, parkingu i sieci (10 – 12 miesięcy)</w:t>
            </w:r>
          </w:p>
        </w:tc>
      </w:tr>
      <w:tr>
        <w:trPr>
          <w:cantSplit/>
          <w:tblHeader w:val="false"/>
        </w:trPr>
        <w:tc>
          <w:tcPr>
            <w:tcW w:type="dxa" w:w="212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koniec 2028 / początek 2029</w:t>
            </w:r>
          </w:p>
        </w:tc>
        <w:tc>
          <w:tcPr>
            <w:tcW w:type="dxa" w:w="7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odbiór i otwarcie sklepu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9. O firmie BauHausEurope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BauHausEurope s. r. o. działa od 2013 r. jako firma budowlana i deweloperska. Główną działalnością jest wykonawstwo robót budowlanych i dostarczanie wykwalifikowanych pracowników budowlanych dla generalnych wykonawców w Niemczech; od 2022 r. grupa rozwija własne projekty deweloperskie oraz budowę sieci uzbrojenia terenu na Słowacji i w Chorwacji.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Przychody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2023: 8,7 mln EUR  |  2024: 11,3 mln EUR  |  2025: 9,3 mln EUR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Wybrane projekty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sieci uzbrojenia dla osiedla Senec – Margovo (11,66 mln EUR netto, 38 ha, 835 mieszkań i domów); 27 apartamentów w Chorwacji; Sky Hill Residence Banská Bystrica; przebudowa obiektu w Vyšných Ružbachach na 62 mieszkania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Majątek grupy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nieruchomości w Starej Ľubovni, Bańskiej Bystrzycy i Vyšných Ružbachach o łącznej wartości 6,17 mln EUR według operatów szacunkowych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Sprzęt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żuraw samochodowy, samochody ciężarowe, maszyny rozbiórkowe, mobilna kruszarka, deskowania i rusztowania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Zarząd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właściciel grupy BauHausEurope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Wskaźniki finansowe spółki według rocznych sprawozdań finansowych opublikowanych w słowackim Rejestrze Sprawozdań Finansowych (w EUR):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1252"/>
        <w:gridCol w:w="1252"/>
        <w:gridCol w:w="1252"/>
        <w:gridCol w:w="1349"/>
        <w:gridCol w:w="1257"/>
      </w:tblGrid>
      <w:tr>
        <w:trPr>
          <w:cantSplit/>
          <w:tblHeader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Wskaźnik (EUR)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2025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Przychody z działalności operacyjnej (obrót)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7 126 603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8 743 155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8 662 883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11 307 204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9 346 482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Wynik z działalności operacyjnej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36 165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157 799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22 315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367 470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211 159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EBITDA (wynik operacyjny + amortyzacja)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81 953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380 821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499 222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801 544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639 720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Wynik netto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18 686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83 286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-69 736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220 503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106 056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Aktywa razem (netto)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1 351 175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2 974 620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2 709 699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3 386 125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3 490 376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w tym rzeczowe aktywa trwałe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287 167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1 783 967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1 672 519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1 865 839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1 537 681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Kapitał własny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155 468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608 454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521 694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742 198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EEF3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7"/>
                <w:szCs w:val="17"/>
              </w:rPr>
              <w:t xml:space="preserve">839 335</w:t>
            </w:r>
          </w:p>
        </w:tc>
      </w:tr>
      <w:tr>
        <w:trPr>
          <w:cantSplit/>
          <w:tblHeader w:val="false"/>
        </w:trPr>
        <w:tc>
          <w:tcPr>
            <w:tcW w:type="dxa" w:w="32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Bieżące kredyty bankowe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7 008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91 392</w:t>
            </w:r>
          </w:p>
        </w:tc>
        <w:tc>
          <w:tcPr>
            <w:tcW w:type="dxa" w:w="12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109 919</w:t>
            </w:r>
          </w:p>
        </w:tc>
        <w:tc>
          <w:tcPr>
            <w:tcW w:type="dxa" w:w="134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117 901</w:t>
            </w:r>
          </w:p>
        </w:tc>
        <w:tc>
          <w:tcPr>
            <w:tcW w:type="dxa" w:w="12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175 227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Źródło: słowacki Rejestr Sprawozdań Finansowych (registeruz.sk), IČO 47 420 171; dalsze dane o spółce: finstat.sk/47420171. Spółka od założenia jest nieprzerwanie rentowna na poziomie operacyjnym, kapitał własny wzrósł w ciągu pięciu lat 5,4-krotnie wyłącznie z zysków zatrzymanych, a zależność od finansowania bankowego jest minimalna.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53000" cy="2343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2514E"/>
          <w:sz w:val="17"/>
          <w:szCs w:val="17"/>
        </w:rPr>
        <w:t xml:space="preserve">Wykres – Przychody BauHausEurope s. r. o. w latach 2021 – 2025 (mln EUR)</w:t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F3B73"/>
          <w:sz w:val="30"/>
          <w:szCs w:val="30"/>
        </w:rPr>
        <w:t xml:space="preserve">10. Dalsze kroki i kontakt</w:t>
      </w:r>
    </w:p>
    <w:p>
      <w:pPr>
        <w:spacing w:after="120" w:line="276"/>
        <w:jc w:val="both"/>
      </w:pPr>
      <w:r>
        <w:rPr>
          <w:rFonts w:ascii="Arial" w:cs="Arial" w:eastAsia="Arial" w:hAnsi="Arial"/>
          <w:sz w:val="21"/>
          <w:szCs w:val="21"/>
        </w:rPr>
        <w:t xml:space="preserve">Proponujemy wizję lokalną terenu w listopadzie 2026 r. połączoną ze spotkaniem w urzędzie miasta. Na spotkanie przygotujemy komplet dokumentów (wypis z księgi wieczystej, operat szacunkowy, pomiar geodezyjny, informację planistyczną, badania), a po otrzymaniu projektu typowego Merkury Market także wstępny kosztorys budowy i harmonogram.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Pozycja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F3B7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Opis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Firma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BauHausEurope s. r. o., Konventná 9, 811 03 Bratysława, Słowacja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IČO / NIP UE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47 420 171 / SK2023873533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Osoba kontaktowa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Bc. Ľubomír Kruk, prezes zarządu (konateľ)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E-mail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info@bauhauseurope.de</w:t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Telefon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8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Teren</w:t>
            </w:r>
          </w:p>
        </w:tc>
        <w:tc>
          <w:tcPr>
            <w:tcW w:type="dxa" w:w="674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Levočská 345/11, 064 01 Stará Ľubovňa – https://maps.app.goo.gl/gTJZC8ehx5vQG2zS8</w:t>
            </w:r>
          </w:p>
        </w:tc>
      </w:tr>
    </w:tbl>
    <w:p>
      <w:pPr>
        <w:keepNext/>
        <w:spacing w:after="60" w:before="600"/>
      </w:pPr>
      <w:r>
        <w:rPr>
          <w:rFonts w:ascii="Arial" w:cs="Arial" w:eastAsia="Arial" w:hAnsi="Arial"/>
          <w:sz w:val="21"/>
          <w:szCs w:val="21"/>
        </w:rPr>
        <w:t xml:space="preserve">Bratysława, 29.10.2026</w:t>
      </w:r>
    </w:p>
    <w:p>
      <w:pPr>
        <w:keepNext/>
        <w:spacing w:after="0" w:before="500"/>
      </w:pPr>
      <w:r>
        <w:rPr>
          <w:rFonts w:ascii="Arial" w:cs="Arial" w:eastAsia="Arial" w:hAnsi="Arial"/>
          <w:sz w:val="21"/>
          <w:szCs w:val="21"/>
        </w:rPr>
        <w:t xml:space="preserve">______________________________</w:t>
      </w:r>
    </w:p>
    <w:p>
      <w:pPr>
        <w:keepNext/>
        <w:spacing w:after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BauHausEurope s. r. o.</w:t>
      </w:r>
    </w:p>
    <w:p>
      <w:pPr>
        <w:spacing w:after="0"/>
      </w:pPr>
      <w:r>
        <w:rPr>
          <w:rFonts w:ascii="Arial" w:cs="Arial" w:eastAsia="Arial" w:hAnsi="Arial"/>
          <w:sz w:val="21"/>
          <w:szCs w:val="21"/>
        </w:rPr>
        <w:t xml:space="preserve">Bc. Ľubomír Kruk, prezes zarządu (konateľ)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2514E"/>
        <w:sz w:val="16"/>
        <w:szCs w:val="16"/>
      </w:rPr>
      <w:t xml:space="preserve">Strona </w:t>
    </w:r>
    <w:r>
      <w:rPr>
        <w:rFonts w:ascii="Arial" w:cs="Arial" w:eastAsia="Arial" w:hAnsi="Arial"/>
        <w:color w:val="5251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E3" w:sz="4" w:space="4"/>
      </w:pBdr>
      <w:jc w:val="right"/>
    </w:pPr>
    <w:r>
      <w:rPr>
        <w:rFonts w:ascii="Arial" w:cs="Arial" w:eastAsia="Arial" w:hAnsi="Arial"/>
        <w:color w:val="52514E"/>
        <w:sz w:val="15"/>
        <w:szCs w:val="15"/>
      </w:rPr>
      <w:t xml:space="preserve">Oferta inwestycyjna  |  Teren „Stará Pekáreň”, Stará Ľubovňa  |  BauHausEurope s. r. o.  |  Poufne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F3B7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3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e28e86d1e56b17524665ac94c12745c1dde042.jpg"/><Relationship Id="rId10" Type="http://schemas.openxmlformats.org/officeDocument/2006/relationships/image" Target="media/0b14573bed553249a1c50434d48440bad84aabb3.jpg"/><Relationship Id="rId11" Type="http://schemas.openxmlformats.org/officeDocument/2006/relationships/image" Target="media/86eed13cad9074299e298938612a2c4f4d0b2b4c.jpg"/><Relationship Id="rId12" Type="http://schemas.openxmlformats.org/officeDocument/2006/relationships/image" Target="media/ee05d334edf4c606ca083ebf48bbaf6fa52d27ed.png"/><Relationship Id="rId13" Type="http://schemas.openxmlformats.org/officeDocument/2006/relationships/image" Target="media/58c0138c18503a3458ff5a8c393ac2f1a68f1dd1.png"/><Relationship Id="rId14" Type="http://schemas.openxmlformats.org/officeDocument/2006/relationships/image" Target="media/a6b03bcaa466a09f94075bbade4f7cb5494cd90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OFERTA INWESTYCYJNA – Teren „Stará Pekáreň”, Levočská 11, Stará Ľubovňa (Słowacja)</dc:title>
  <dc:creator>BauHausEurope s. r. o.</dc:creator>
  <cp:lastModifiedBy>Un-named</cp:lastModifiedBy>
  <cp:revision>1</cp:revision>
  <dcterms:created xsi:type="dcterms:W3CDTF">2026-10-29T14:32:09.842Z</dcterms:created>
  <dcterms:modified xsi:type="dcterms:W3CDTF">2026-10-29T14:32:09.844Z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