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left"/>
      </w:pPr>
      <w:r>
        <w:rPr>
          <w:rFonts w:ascii="Arial" w:cs="Arial" w:eastAsia="Arial" w:hAnsi="Arial"/>
          <w:b/>
          <w:bCs/>
          <w:color w:val="2A78D6"/>
          <w:sz w:val="28"/>
          <w:szCs w:val="28"/>
        </w:rPr>
        <w:t xml:space="preserve">PRÍLOHA č. 1</w:t>
      </w:r>
    </w:p>
    <w:p>
      <w:pPr>
        <w:spacing w:after="200"/>
      </w:pPr>
      <w:r>
        <w:rPr>
          <w:rFonts w:ascii="Arial" w:cs="Arial" w:eastAsia="Arial" w:hAnsi="Arial"/>
          <w:color w:val="52514E"/>
          <w:sz w:val="22"/>
          <w:szCs w:val="22"/>
        </w:rPr>
        <w:t xml:space="preserve">k Zmluve o úvere uzavretej medzi GR Construction AB (Veriteľ) a BauHausEurope s. r. o. (Dlžník)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3B73"/>
          <w:sz w:val="52"/>
          <w:szCs w:val="52"/>
        </w:rPr>
        <w:t xml:space="preserve">PODNIKATEĽSKÝ PLÁN</w:t>
      </w:r>
    </w:p>
    <w:p>
      <w:pPr>
        <w:spacing w:after="300"/>
      </w:pPr>
      <w:r>
        <w:rPr>
          <w:rFonts w:ascii="Arial" w:cs="Arial" w:eastAsia="Arial" w:hAnsi="Arial"/>
          <w:color w:val="1F3B73"/>
          <w:sz w:val="30"/>
          <w:szCs w:val="30"/>
        </w:rPr>
        <w:t xml:space="preserve">a prehľad investičných aktivít a akvizícií Dlžníka a jeho skupiny</w:t>
      </w:r>
    </w:p>
    <w:p>
      <w:pPr>
        <w:pBdr>
          <w:bottom w:val="single" w:color="2A78D6" w:sz="12" w:space="8"/>
        </w:pBd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BauHausEurope s. r. o.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Konventná 9, 811 03 Bratislava, Slovenská republika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IČO: 47 420 171  |  DIČ: 2023873533  |  IČ DPH: SK2023873533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Obchodný register Mestského súdu Bratislava III, oddiel Sro, vložka č. 92393/B</w:t>
      </w:r>
    </w:p>
    <w:p>
      <w:pPr>
        <w:spacing w:after="60" w:before="5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Spoločnosti skupiny zahrnuté v pláne: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BauHausEurope s. r. o.  ·  BHE Real Estate – Skyhill Residence s. r. o.  ·  UBI-RENT, s. r. o.</w:t>
      </w:r>
    </w:p>
    <w:p>
      <w:pPr>
        <w:spacing w:after="60" w:before="1400"/>
      </w:pPr>
      <w:r>
        <w:rPr>
          <w:rFonts w:ascii="Arial" w:cs="Arial" w:eastAsia="Arial" w:hAnsi="Arial"/>
          <w:sz w:val="22"/>
          <w:szCs w:val="22"/>
        </w:rPr>
        <w:t xml:space="preserve">Vypracoval: Bc. Ľubomír Kruk, konateľ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Bratislava, október 2026</w:t>
      </w:r>
    </w:p>
    <w:p>
      <w:pPr>
        <w:spacing w:after="60" w:before="400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DÔVERNÉ – podlieha povinnosti mlčanlivosti podľa § 9 Zmluvy o úvere. Príloha má v zmysle bodu 2.2 Zmluvy informatívny charakter; odchýlka od nej alebo jej aktualizácia nie je porušením Zmluvy.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B73"/>
          <w:sz w:val="32"/>
          <w:szCs w:val="32"/>
        </w:rP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Obsah sa aktualizuje po otvorení dokumentu vo Worde (Súbor → Aktualizovať polia / F9).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2"/>
          <w:szCs w:val="32"/>
        </w:rPr>
        <w:t xml:space="preserve">1. Zhrnutie pre investora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BauHausEurope s. r. o. (ďalej „Spoločnosť“) je slovenská stavebná a developerská spoločnosť založená v roku 2013. Jadrom jej podnikania je dodávka stavebných prác a kvalifikovaných stavebných pracovníkov pre stavby v Nemecku, pričom od roku 2022 Spoločnosť systematicky buduje druhý pilier – vlastné developerské projekty a výstavbu inžinierskych sietí na Slovensku a v Chorvátsku. Spolu s prepojenými spoločnosťami BHE Real Estate – Skyhill Residence s. r. o. a UBI-RENT, s. r. o. tvorí skupinu pod spoločným vlastníkom a konateľom Ľubomírom Krukom (ďalej „Skupina“).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Úver od GR Construction AB (5 rokov, pevný úrok 7 % p. a., istina aj úrok splatné jednorazovo v Deň splatnosti, bez zabezpečenia a bez majetkovej účasti) umožní Skupine preklenúť prípravnú fázu projektov, ktoré sú už dnes majetkovo a povoľovacie pripravené, a zrealizovať ich bez tlaku priebežných splátok. Zdroje na splatenie úveru vrátane úroku vyplývajú z nasledujúcich projektov: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1542"/>
        <w:gridCol w:w="2891"/>
        <w:gridCol w:w="1543"/>
      </w:tblGrid>
      <w:tr>
        <w:trPr>
          <w:cantSplit/>
          <w:tblHeader/>
        </w:trPr>
        <w:tc>
          <w:tcPr>
            <w:tcW w:type="dxa" w:w="366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Projekt / aktivita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Nositeľ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Stav (10/2026)</w:t>
            </w:r>
          </w:p>
        </w:tc>
        <w:tc>
          <w:tcPr>
            <w:tcW w:type="dxa" w:w="15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Objem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River Residence – Polyfunkčné bytové domy „Stará Pekáreň“, Levočská 11, Stará Ľubovňa (pozemok 10 789 m² vo vlastníctve Spoločnosti)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BauHausEurope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Platné územné rozhodnutie; architektonicko-urbanistická štúdia (Harajčík Architekti, 3/2025: 4 bytové domy, 240 bytov, polyfunkčný parter); pripravuje sa stavebné povolenie; štúdia sa upravuje z 12 na 8 podlaží podľa zmeny územného plánu</w:t>
            </w:r>
          </w:p>
        </w:tc>
        <w:tc>
          <w:tcPr>
            <w:tcW w:type="dxa" w:w="15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rozpočet 24,0 mil. € / predaj 46,0 mil. €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Senec – Margovo: výstavba inžinierskych sietí pre obytnú zónu (38 ha, 835 bytov a domov)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BauHausEurope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Podpis zmluvy 11/2026 po vydaní stavebného povolenia na cesty; následne účasť v súťaži na generálneho zhotoviteľa IBV</w:t>
            </w:r>
          </w:p>
        </w:tc>
        <w:tc>
          <w:tcPr>
            <w:tcW w:type="dxa" w:w="15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11,66 mil. € bez DPH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Chorvátsko: výstavba 27 apartmánov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BauHausEurope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Spúšťa sa realizácia</w:t>
            </w:r>
          </w:p>
        </w:tc>
        <w:tc>
          <w:tcPr>
            <w:tcW w:type="dxa" w:w="15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4,33 mil. € bez DPH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Sky Hill Residence, Tulská ul., Banská Bystrica – pozemky 10 614 m² s platným územným rozhodnutím na bytovú výstavbu, bez tiarch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BHE Real Estate – Skyhill Residence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Príprava projektu pre stavebné povolenie</w:t>
            </w:r>
          </w:p>
        </w:tc>
        <w:tc>
          <w:tcPr>
            <w:tcW w:type="dxa" w:w="15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VŠH pozemkov 2,42 mil. €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Vyšné Ružbachy – prestavba rozostavaného objektu (1 PP + 6 NP, ŽB skelet) na 62 bytov, pozemky 5 981 m², bez tiarch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UBI-RENT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Dispozičná štúdia hotová (59 b. j.); obec potvrdila možnosť zmeny využitia; po investícii štart výstavby</w:t>
            </w:r>
          </w:p>
        </w:tc>
        <w:tc>
          <w:tcPr>
            <w:tcW w:type="dxa" w:w="15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VŠH nehnuteľnosti 1,90 mil. €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Inovácie: IT systémy, umelá inteligencia, stavebná robotika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BauHausEurope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Priebežne 2027 – 2029</w:t>
            </w:r>
          </w:p>
        </w:tc>
        <w:tc>
          <w:tcPr>
            <w:tcW w:type="dxa" w:w="15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investičný program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Kľúčové argumenty pre investora: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Stabilný prevádzkový základ: výnosy Spoločnosti sa v rokoch 2021 – 2025 pohybovali medzi 7,1 a 11,3 mil. € ročne, Spoločnosť je nepretržite zisková na prevádzkovej úrovni a jej vlastné imanie vzrástlo z 0,16 mil. € (2021) na 0,84 mil. € (2025).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Majetková podstata Skupiny: tri nehnuteľnostné celky s nezávislými znaleckými posudkami v súhrnnej všeobecnej hodnote 6,17 mil. € (Stará Ľubovňa 1,85 mil. €, Banská Bystrica 2,42 mil. €, Vyšné Ružbachy 1,90 mil. €), z toho pozemky v Banskej Bystrici a objekt vo Vyšných Ružbachoch sú bez tiarch.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Pripravený projektový zásobník (pipeline) s hrubou maržou prevyšujúcou 25 mil. € v horizonte splatnosti úveru, pričom samotný developerský projekt v Starej Ľubovni má plánovaný rozdiel medzi predajnou cenou a rozpočtom 22 mil. €.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Zazmluvnené a rozpracované zákazky v celkovej hodnote takmer 16 mil. € bez DPH (Senec – Margovo, Chorvátsko) generujú cash-flow už v rokoch 2027 – 2028, teda dlho pred Dňom splatnosti.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Nízka zadlženosť voči bankám (bežné bankové úvery 0,18 mil. € k 31. 12. 2025) a jednorazová splatnosť úveru po 5 rokoch (s opciou predĺženia o 3 roky) dávajú Skupine dostatočný časový priestor na dokončenie a speňaženie projektov.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2"/>
          <w:szCs w:val="32"/>
        </w:rPr>
        <w:t xml:space="preserve">2. Profil Dlžníka – BauHausEurope s. r. 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B73"/>
          <w:sz w:val="26"/>
          <w:szCs w:val="26"/>
        </w:rPr>
        <w:t xml:space="preserve">2.1 Základné údaje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Údaj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Hodnota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Obchodné meno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BauHausEurope s. r. o.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Sídlo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Konventná 9, 811 03 Bratislava, Slovenská republika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IČO / DIČ / IČ DPH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47 420 171 / 2023873533 / SK2023873533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Registrácia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Obchodný register Mestského súdu Bratislava III, oddiel Sro, vložka č. 92393/B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Dátum vzniku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30. 9. 2013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Právna forma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spoločnosť s ručením obmedzeným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Štatutárny orgán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Bc. Ľubomír Kruk, konateľ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Vlastnícka štruktúra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jediný spoločník a konečný užívateľ výhod: Ľubomír Kruk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Hlavné činnosti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stavebné práce a subdodávky (Werkvertrag) pre stavby v Nemecku; sprostredkovanie a vysielanie kvalifikovaných stavebných pracovníkov; stavebná výroba na Slovensku a v Chorvátsku; development rezidenčných projektov; výstavba inžinierskych sietí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Hlavný trh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Nemecko (subdodávky stavebných prác), Slovensko (development, inžinierske siete), Chorvátsko (rezidenčná výstavba)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B73"/>
          <w:sz w:val="26"/>
          <w:szCs w:val="26"/>
        </w:rPr>
        <w:t xml:space="preserve">2.2 História a súčasná pozícia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Spoločnosť vznikla v roku 2013 ako dodávateľ stavebných prác a pracovníkov pre nemecký stavebný trh. V priebehu rokov vybudovala stabilnú sieť nemeckých generálnych dodávateľov, pre ktorých realizuje hrubé stavby, murárske, betonárske, fasádne, sadrokartónové a dokončovacie práce formou zmlúv o dielo. Tento model je zdrojom pravidelných výnosov a tvorí „prevádzkový motor“ Skupiny: vysoký dopyt po kvalifikovanej pracovnej sile v Nemecku, dlhodobé vzťahy s odberateľmi a vlastný tím skúsených majstrov a stavbyvedúcich.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Od roku 2022 Spoločnosť reinvestuje vytvorené zdroje do nehnuteľností a developerských projektov. V októbri 2022 nadobudla areál bývalej pekárne na Levočskej ulici v Starej Ľubovni (10 789 m²), ktorý je dnes pripravovaný na bytovú výstavbu, a cez prepojené spoločnosti získala pozemky v Banskej Bystrici a rozostavaný objekt vo Vyšných Ružbachoch. V roku 2025 a 2026 Spoločnosť rozšírila stavebnú výrobu o výstavbu inžinierskych sietí (Senec – Margovo) a o rezidenčný projekt v Chorvátsku.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B73"/>
          <w:sz w:val="26"/>
          <w:szCs w:val="26"/>
        </w:rPr>
        <w:t xml:space="preserve">2.3 Finančné výsledky 2021 – 2025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Nasledujúce údaje pochádzajú z riadnych účtovných závierok Spoločnosti zverejnených v Registri účtovných závierok Slovenskej republiky (v eurách).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252"/>
        <w:gridCol w:w="1252"/>
        <w:gridCol w:w="1252"/>
        <w:gridCol w:w="1349"/>
        <w:gridCol w:w="1257"/>
      </w:tblGrid>
      <w:tr>
        <w:trPr>
          <w:cantSplit/>
          <w:tblHeader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Ukazovateľ (€)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2021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2022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2023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2024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2025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Výnosy z hospodárskej činnosti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7 126 603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8 743 155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8 662 883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11 307 204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9 346 482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 toho tržby z predaja služieb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7 062 736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8 669 531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8 477 683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10 808 248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8 597 620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Výsledok hospodárenia z hospodárskej činnosti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36 165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157 799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22 315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367 470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211 159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Odpisy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45 788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223 022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476 907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434 074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428 561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EBITDA (prevádzkový výsledok + odpisy)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81 953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380 821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499 222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801 544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639 720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Výsledok hospodárenia po zdanení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18 686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83 286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-69 736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220 503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106 056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Majetok spolu (aktíva netto)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1 351 175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2 974 620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2 709 699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3 386 125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3 490 376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 toho dlhodobý hmotný majetok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287 167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1 783 967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1 672 519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1 865 839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1 537 681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Vlastné imanie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155 468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608 454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521 694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742 198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839 335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Záväzky spolu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1 195 707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2 366 166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2 185 358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2 641 653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2 649 242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 toho bežné bankové úvery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7 008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91 392</w:t>
            </w:r>
          </w:p>
        </w:tc>
        <w:tc>
          <w:tcPr>
            <w:tcW w:type="dxa" w:w="12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109 919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117 901</w:t>
            </w:r>
          </w:p>
        </w:tc>
        <w:tc>
          <w:tcPr>
            <w:tcW w:type="dxa" w:w="12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175 227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Zdroj: Register účtovných závierok SR (registeruz.sk), účtovné závierky za roky 2021 – 2025. Záporný výsledok roku 2023 bol spôsobený jednorazovo zvýšenými odpismi a osobnými nákladmi pri nábehu nových činností; na úrovni EBITDA bol aj rok 2023 ziskový.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Graf 1 – Vývoj výnosov z hospodárskej činnosti 2021 – 2025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Graf 2 – Vývoj EBITDA 2021 – 2025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Finančný profil Spoločnosti charakterizuje: (i) päťročný rast vlastného imania 5,4-násobne bez vkladov spoločníka, výlučne z nerozdelených ziskov; (ii) stabilná prevádzková ziskovosť s maržou EBITDA 5,8 – 7,1 % v posledných troch rokoch, čo je v sektore stavebných subdodávok nadpriemer; (iii) minimálna závislosť od bankového financovania – bežné bankové úvery predstavujú len 5 % bilančnej sumy; (iv) majetok vo forme nehnuteľností a stavebnej techniky, ktorý Spoločnosť priebežne odpisuje a ktorého trhová hodnota (viď znalecké posudky v časti 4) výrazne prevyšuje účtovnú hodnotu.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2"/>
          <w:szCs w:val="32"/>
        </w:rPr>
        <w:t xml:space="preserve">3. Štruktúra Skupiny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Skupinu tvoria tri spoločnosti s rovnakým vlastníkom a konateľom. Dlžníkom zo Zmluvy o úvere je výlučne BauHausEurope s. r. o.; prepojené spoločnosti sú nositeľmi konkrétnych nehnuteľnostných projektov, do ktorých môže Dlžník investovať v súlade s § 2 ods. 2.1 písm. f) Zmluvy (investície do subjektov v rámci skupiny Dlžníka).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1 – Schéma Skupiny BauHausEurope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927"/>
        <w:gridCol w:w="2891"/>
        <w:gridCol w:w="2507"/>
      </w:tblGrid>
      <w:tr>
        <w:trPr>
          <w:cantSplit/>
          <w:tblHeader/>
        </w:trPr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Spoločnosť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Sídlo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Úloha v Skupine</w:t>
            </w:r>
          </w:p>
        </w:tc>
        <w:tc>
          <w:tcPr>
            <w:tcW w:type="dxa" w:w="2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Kľúčový majetok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BauHausEurope s. r. o. (Dlžník)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Konventná 9, Bratislava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prevádzková a developerská spoločnosť, nositeľ zákaziek Senec – Margovo a Chorvátsko, vlastník areálu v Starej Ľubovni</w:t>
            </w:r>
          </w:p>
        </w:tc>
        <w:tc>
          <w:tcPr>
            <w:tcW w:type="dxa" w:w="2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areál Levočská 11, Stará Ľubovňa (10 789 m², 7 stavebných objektov), VŠH 1 850 000 €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BHE Real Estate – Skyhill Residence s. r. o.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Levočská 363/29, 064 01 Stará Ľubovňa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projektová spoločnosť pre rezidenčný projekt Sky Hill Residence v Banskej Bystrici</w:t>
            </w:r>
          </w:p>
        </w:tc>
        <w:tc>
          <w:tcPr>
            <w:tcW w:type="dxa" w:w="2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pozemky 10 614 m², k. ú. Radvaň, Tulská ul., Banská Bystrica, bez tiarch, VŠH 2 424 237,60 €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UBI-RENT, s. r. o.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Račí potok 47, 040 01 Košice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projektová spoločnosť pre prestavbu objektu vo Vyšných Ružbachoch na byty</w:t>
            </w:r>
          </w:p>
        </w:tc>
        <w:tc>
          <w:tcPr>
            <w:tcW w:type="dxa" w:w="2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rozostavané rekreačné zariadenie + pozemky 5 981 m², k. ú. Vyšné Ružbachy, bez tiarch, VŠH 1 900 000 €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VŠH = všeobecná hodnota stanovená znaleckým posudkom (Stará Ľubovňa: ZP č. 87/2024, Ing. Peter Repčák, 22. 7. 2024; Banská Bystrica: ZP č. 34/2025, Ing. Lucia Orosiová, 7. 12. 2025; Vyšné Ružbachy: ZP č. 21/2026, Ing. Slavko Sabol, 8. 3. 2026).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2"/>
          <w:szCs w:val="32"/>
        </w:rPr>
        <w:t xml:space="preserve">4. Prehľad projektov a investičných aktivít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B73"/>
          <w:sz w:val="26"/>
          <w:szCs w:val="26"/>
        </w:rPr>
        <w:t xml:space="preserve">4.1 River Residence – Polyfunkčné bytové domy „Stará Pekáreň“, Levočská 11, Stará Ľubovňa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2 – River Residence Stará Ľubovňa: pohľad od rieky Jakubianka (vizualizácia, Harajčík Architekti, 3/2025)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Údaj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Hodnota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Nositeľ projektu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BauHausEurope s. r. o. (vlastník všetkých parciel 1/1)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Pozemok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parcely KN-C č. 775/1 až 775/5, k. ú. Stará Ľubovňa, LV č. 1382, spolu 10 789 m²; areál bývalej pekárne medzi Levočskou ulicou a riekou Jakubianka v zastavanom území mesta, v blízkosti centra; nadobudnutý kúpnou zmluvou (vklad povolený 10. 10. 2022)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Existujúce stavby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trojpodlažná administratívna budova, prízemná výrobná hala, štvorpodlažná výrobná a skladová budova, garáže, kotolňa, trafostanica; vlastné prípojky vody, kanalizácie, plynu a elektriny; areál je dnes čiastočne prenajímaný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Všeobecná hodnota areálu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1 850 000 € (ZP č. 87/2024, Ing. Peter Repčák, 22. 7. 2024), z toho pozemky 628 675 € (58,27 €/m²)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Architektonicko-urbanistická štúdia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„Polyfunkčné bytové domy Stará Pekáreň“ (pracovný názov River Residence), HARAJČÍK ARCHITEKTI s. r. o., Trnava, Ing. arch. Juraj Harajčík, 03/2025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Koncept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bytové domy (A – D) na spoločnej dvojpodlažnej podzemnej garáži; polyfunkčný parter na 1. NP (supermarket – predpokladaný nájomca Biedronka, materská škola, reštaurácia a kaviareň, zdravotné stredisko, fitness a telocvične), 2. NP skladové kobky k bytom, bývanie od 3. NP; každý byt s vlastnou lodžiou; extenzívne zelené strechy, park, amfiteáter, detské a športové plochy pri rieke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Stav povoľovacieho procesu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platné územné rozhodnutie na bytovú výstavbu; pripravuje sa dokumentácia pre stavebné povolenie (prebieha inžiniersko-geologický a hydrogeologický prieskum); mesto Stará Ľubovňa pripravuje zmenu územného plánu v lokalite na základe urbanistickej štúdie (SHARCH, Poprad) – štúdia sa v nadväznosti na ňu upravuje z 12 na 8 nadzemných podlaží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Predbežný rozpočet výstavby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24 000 000 €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Plánovaná predajná hodnota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46 000 000 € (byty, polyfunkčné priestory, parkovacie státia)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Plánovaný hrubý rozdiel (predaj – rozpočet)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22 000 000 €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Harmonogram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stavebné povolenie 2027, výstavba 2027 – 2030 po etapách (po jednotlivých bytových domoch), predaj bytov 2028 – 2031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Bilancia podľa štúdie z 03/2025 (variant s 12 nadzemnými podlažiami):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313"/>
        <w:gridCol w:w="2698"/>
        <w:gridCol w:w="2122"/>
      </w:tblGrid>
      <w:tr>
        <w:trPr>
          <w:cantSplit/>
          <w:tblHeader/>
        </w:trPr>
        <w:tc>
          <w:tcPr>
            <w:tcW w:type="dxa" w:w="250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Ukazovateľ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Hodnota</w:t>
            </w:r>
          </w:p>
        </w:tc>
        <w:tc>
          <w:tcPr>
            <w:tcW w:type="dxa" w:w="26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Ukazovateľ</w:t>
            </w:r>
          </w:p>
        </w:tc>
        <w:tc>
          <w:tcPr>
            <w:tcW w:type="dxa" w:w="212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Hodnota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Plocha riešeného územia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10 789 m²</w:t>
            </w:r>
          </w:p>
        </w:tc>
        <w:tc>
          <w:tcPr>
            <w:tcW w:type="dxa" w:w="26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Celková podlažná plocha (1. – 12. NP)</w:t>
            </w:r>
          </w:p>
        </w:tc>
        <w:tc>
          <w:tcPr>
            <w:tcW w:type="dxa" w:w="212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26 958 m² (Ipp = 2,5)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Zastavaná plocha objektmi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3 089 m² (IZP = 0,286)</w:t>
            </w:r>
          </w:p>
        </w:tc>
        <w:tc>
          <w:tcPr>
            <w:tcW w:type="dxa" w:w="26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Plocha pre bývanie (3. – 12. NP)</w:t>
            </w:r>
          </w:p>
        </w:tc>
        <w:tc>
          <w:tcPr>
            <w:tcW w:type="dxa" w:w="212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16 059,6 m²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Obostavaný priestor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152 676 m³</w:t>
            </w:r>
          </w:p>
        </w:tc>
        <w:tc>
          <w:tcPr>
            <w:tcW w:type="dxa" w:w="26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Plocha polyfunkcie / obchodu (1. NP)</w:t>
            </w:r>
          </w:p>
        </w:tc>
        <w:tc>
          <w:tcPr>
            <w:tcW w:type="dxa" w:w="212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2 153 m²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Zeleň na teréne + zelené strechy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4 229 m² + 2 836 m² (KZ = 0,42)</w:t>
            </w:r>
          </w:p>
        </w:tc>
        <w:tc>
          <w:tcPr>
            <w:tcW w:type="dxa" w:w="26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Podzemná garáž (1. PP + 2. PP)</w:t>
            </w:r>
          </w:p>
        </w:tc>
        <w:tc>
          <w:tcPr>
            <w:tcW w:type="dxa" w:w="212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19 074 m²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Výška stavby nad terénom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38,7 m</w:t>
            </w:r>
          </w:p>
        </w:tc>
        <w:tc>
          <w:tcPr>
            <w:tcW w:type="dxa" w:w="26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Parkovacie státia</w:t>
            </w:r>
          </w:p>
        </w:tc>
        <w:tc>
          <w:tcPr>
            <w:tcW w:type="dxa" w:w="212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554 v garáži + 23 na teréne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Počet bytových jednotiek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26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Počet skladových kobiek (2. NP)</w:t>
            </w:r>
          </w:p>
        </w:tc>
        <w:tc>
          <w:tcPr>
            <w:tcW w:type="dxa" w:w="212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Zdroj: Sprievodná správa S.01 k architektonicko-urbanistickej štúdii, Harajčík Architekti, 29. 3. 2025. Pri úprave na 8 nadzemných podlaží sa počet bytov a podlažná plocha primerane znížia; aktualizovaná bilancia bude súčasťou dokumentácie pre stavebné povolenie.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3 – Situácia návrhu: 4 bytové domy, podzemná garáž, park a amfiteáter pri rieke (výkres A.01)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4 – Zvislé rezopohľady, variant 12 NP (výkres A.06)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1847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1847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1847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1847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5 – Vizualizácie parteru, vnútrobloku a pobytových plôch (Harajčík Architekti)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Ide o nosný projekt Skupiny a hlavný zdroj splatenia úveru. Jeho výhodou je, že pozemok je už vo vlastníctve Spoločnosti, má zabezpečené napojenie na všetky inžinierske siete a nachádza sa v zastavanom území okresného mesta pri centre, s priamym kontaktom na rieku a nábrežie. Polyfunkčný parter so supermarketom, zdravotným strediskom a materskou školou zvyšuje atraktivitu bývania aj hodnotu komerčných priestorov, ktoré je možné dlhodobo prenajímať. Výstavba bude realizovaná vlastnými kapacitami Spoločnosti (stavebné tímy pôsobiace dnes v Nemecku) s využitím prefabrikovaného stenového systému, čo skracuje čas výstavby a znižuje náklady i riziko subdodávateľských výpadkov. Spoločnosť plánuje výstavbu rozdeliť do etáp po jednotlivých bytových domoch tak, aby predaj prvej etapy financoval etapy nasledujúce; prostriedky z úveru budú použité predovšetkým na projektovú prípravu, stavebné povolenie, búracie práce a rozbeh prvej etapy.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B73"/>
          <w:sz w:val="26"/>
          <w:szCs w:val="26"/>
        </w:rPr>
        <w:t xml:space="preserve">4.2 Senec – Margovo: výstavba inžinierskych sietí pre novú obytnú zónu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Údaj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Hodnota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Projekt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Senec Margovo (senecmargovo.sk) – nová obytná štvrť na ploche 38 ha, cca 2 km od centra Senca a 25 km od Bratislavy, s rýchlym napojením na diaľnicu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Rozsah zóny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835 bytov a rodinných domov (rodinné domy, dvojdomy, radové domy, bytové domy), materská škola, základná škola s 20 triedami a telocvičňou, retailová zóna s 2 polyfunkčnými budovami, park s jazerom nad 7 000 m², zastávky MHD a cyklotrasy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Zákazka Spoločnosti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výstavba inžinierskych sietí pre celú zónu (komunikácie, vodovod, kanalizácia, plynovod, slaboprúdové rozvody)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Hodnota zákazky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11 660 000 € bez DPH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Stav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čaká sa na vydanie stavebného povolenia na cesty; podpis zmluvy o dielo sa predpokladá v 11/2026; realizácia 2027 – 2028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Ďalší potenciál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 spustení sietí sa Spoločnosť zapojí do súťaže na generálneho zhotoviteľa individuálnej bytovej výstavby (IBV) v zóne – potenciál rádovo desiatok miliónov € nad rámec tohto plánu (v projekciách nie je zahrnutý)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6 – Vizualizácia obytnej zóny Senec – Margovo (zdroj: senecmargovo.sk)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7 – Vizualizácie zástavby v zóne Senec – Margovo (zdroj: senecmargovo.sk)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Zákazka má pre Skupinu dvojaký význam: generuje prevádzkovú maržu už v rokoch 2027 – 2028 (odhad manažmentu 10 – 12 % z hodnoty diela) a zároveň otvára cestu k získaniu pozície generálneho zhotoviteľa pre samotnú výstavbu domov, kde Spoločnosť môže naplno využiť svoje stavebné kapacity. Prostriedky z úveru budú slúžiť na predfinancovanie prác, zábezpeky, nákup techniky a materiálu pred prvými fakturáciami.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B73"/>
          <w:sz w:val="26"/>
          <w:szCs w:val="26"/>
        </w:rPr>
        <w:t xml:space="preserve">4.3 Chorvátsko: výstavba 27 apartmánov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Údaj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Hodnota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Nositeľ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BauHausEurope s. r. o.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Rozsah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výstavba rezidenčného objektu s 27 apartmánmi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Hodnota projektu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4 330 000 € bez DPH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Stav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Spoločnosť spúšťa výstavbu; realizácia 2027 – 2028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Význam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vstup na rastúci chorvátsky trh rekreačných nehnuteľností s využitím vlastných stavebných tímov; referenčný projekt pre ďalšie zákazky v regióne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B73"/>
          <w:sz w:val="26"/>
          <w:szCs w:val="26"/>
        </w:rPr>
        <w:t xml:space="preserve">4.4 Sky Hill Residence – pozemky Tulská ul., Banská Bystrica (BHE Real Estate – Skyhill Residence s. r. o.)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Údaj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Hodnota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Vlastník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BHE Real Estate – Skyhill Residence s. r. o. (spoločnosť prepojená s Dlžníkom), podiel 1/1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Pozemky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parc. č. 774/1 (3 668 m²), 2060/226 (2 294 m²), 2060/236 (302 m²), 788/1 (3 426 m²), 789/1 (924 m²); k. ú. Radvaň, obec Banská Bystrica, LV č. 3478, 3915, 3916, 4656; spolu 10 614 m²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Ťarchy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bez tiarch (podľa výpisov z listov vlastníctva k 5. 12. 2025)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Územnoplánovacie podmienky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pozemky v zmysle územného plánu určené na výstavbu bytových domov (výhľadová časť sídliska Fončorda); platné územné rozhodnutie na výstavbu bytových jednotiek; možnosť napojenia na všetky inžinierske siete, zastávka MHD v blízkosti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Všeobecná hodnota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2 424 237,60 € (228,40 €/m²) – ZP č. 34/2025, Ing. Lucia Orosiová, 7. 12. 2025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Zámer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rezidenčný projekt Sky Hill Residence – bytové domy s výhľadom na mesto; 2027 – 2028 projektová príprava a stavebné povolenie, následne realizácia vlastnými kapacitami alebo s partnerom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8 – Poloha pozemkov Sky Hill Residence v Banskej Bystrici (zdroj: ZP č. 34/2025)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1695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9 – Pozemky na Tulskej ulici, Banská Bystrica (fotodokumentácia znalca, 7. 12. 2025)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441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10 – Kópia katastrálnej mapy, parcela 2060/226 a okolie (zdroj: ZP č. 34/2025)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B73"/>
          <w:sz w:val="26"/>
          <w:szCs w:val="26"/>
        </w:rPr>
        <w:t xml:space="preserve">4.5 Vyšné Ružbachy – prestavba rozostavaného objektu na 62 bytov (UBI-RENT, s. r. o.)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Údaj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Hodnota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Vlastník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UBI-RENT, s. r. o., Račí potok 47, 040 01 Košice (spoločnosť prepojená s Dlžníkom); nadobudnuté kúpnymi zmluvami zo 7. 4. 2025 a 5. 6. 2025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Nehnuteľnosť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rozostavaná stavba rekreačného zariadenia na parc. CKN č. 2430/2 s príslušenstvom a pozemky parc. CKN č. 2430/1 (4 218 m²) a 2430/2 (1 763 m²), spolu 5 981 m², k. ú. Vyšné Ružbachy, LV č. 1274, okres Stará Ľubovňa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Ťarchy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bez tiarch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Charakter objektu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železobetónový montovaný skelet s pórobetónovým plášťom, 1 podzemné a 6 nadzemných podlaží, dva osobné výťahy, vlastné prípojky vody, kanalizácie, plynu a elektriny; stavba uzatvorená, základná životnosť konštrukcie 80 – 100 rokov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Všeobecná hodnota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1 900 000 € (stavby 1 413 851,89 €, pozemky 485 956,25 €) – ZP č. 21/2026, Ing. Slavko Sabol, 8. 3. 2026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Stav prípravy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obec Vyšné Ružbachy sa 17. 2. 2026 vyjadrila k zmene využitia na bytové priestory; dispozičná štúdia prestavby vypracovaná (apríl 2026); po investícii štart projektu pre stavebné povolenie a výstavby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Zámer</w:t>
            </w:r>
          </w:p>
        </w:tc>
        <w:tc>
          <w:tcPr>
            <w:tcW w:type="dxa" w:w="62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prestavba na bytový dom s cca 62 bytovými jednotkami (podľa štúdie 59 bytov v 1. PP až 5. NP s rezervou v 6. NP), určenými na predaj a čiastočne na prenájom v kúpeľnej obci Vyšné Ružbachy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2076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2076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11 – Rozostavaný objekt vo Vyšných Ružbachoch (fotodokumentácia znalca, 2/2026)</w:t>
      </w:r>
    </w:p>
    <w:p>
      <w:pPr>
        <w:keepNext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Dispozičná štúdia prestavby (apríl 2026) rieši jednotlivé podlažia nasledovne: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1156"/>
        <w:gridCol w:w="3469"/>
        <w:gridCol w:w="1734"/>
        <w:gridCol w:w="2123"/>
      </w:tblGrid>
      <w:tr>
        <w:trPr>
          <w:cantSplit/>
          <w:tblHeader/>
        </w:trPr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Podlažie</w:t>
            </w:r>
          </w:p>
        </w:tc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Počet bytov</w:t>
            </w:r>
          </w:p>
        </w:tc>
        <w:tc>
          <w:tcPr>
            <w:tcW w:type="dxa" w:w="34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Skladba</w:t>
            </w:r>
          </w:p>
        </w:tc>
        <w:tc>
          <w:tcPr>
            <w:tcW w:type="dxa" w:w="173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Plocha bytov (m²)</w:t>
            </w:r>
          </w:p>
        </w:tc>
        <w:tc>
          <w:tcPr>
            <w:tcW w:type="dxa" w:w="212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Nebytové priestory (m²)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 PP</w:t>
            </w:r>
          </w:p>
        </w:tc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34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1× 1-izb., 8× 2-izb., 6× 3-izb., 1× 4-izb.</w:t>
            </w:r>
          </w:p>
        </w:tc>
        <w:tc>
          <w:tcPr>
            <w:tcW w:type="dxa" w:w="173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978,85</w:t>
            </w:r>
          </w:p>
        </w:tc>
        <w:tc>
          <w:tcPr>
            <w:tcW w:type="dxa" w:w="212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606,76 (pivnice 292,72; spoločenské 314,04)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 NP</w:t>
            </w:r>
          </w:p>
        </w:tc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34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2× 1-izb., 9× 2-izb., 1× 3-izb., 1× 4-izb.</w:t>
            </w:r>
          </w:p>
        </w:tc>
        <w:tc>
          <w:tcPr>
            <w:tcW w:type="dxa" w:w="173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757,33</w:t>
            </w:r>
          </w:p>
        </w:tc>
        <w:tc>
          <w:tcPr>
            <w:tcW w:type="dxa" w:w="212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232,97 (pivnice 73,48; spoločenské 159,49)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 NP</w:t>
            </w:r>
          </w:p>
        </w:tc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34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2× 1-izb., 6× 2-izb., 1× 3-izb.; balkóny 64,53</w:t>
            </w:r>
          </w:p>
        </w:tc>
        <w:tc>
          <w:tcPr>
            <w:tcW w:type="dxa" w:w="173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482,30</w:t>
            </w:r>
          </w:p>
        </w:tc>
        <w:tc>
          <w:tcPr>
            <w:tcW w:type="dxa" w:w="212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77,67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 NP</w:t>
            </w:r>
          </w:p>
        </w:tc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34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2× 1-izb., 5× 2-izb., 1× 3-izb.; balkóny 64,53</w:t>
            </w:r>
          </w:p>
        </w:tc>
        <w:tc>
          <w:tcPr>
            <w:tcW w:type="dxa" w:w="173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421,04</w:t>
            </w:r>
          </w:p>
        </w:tc>
        <w:tc>
          <w:tcPr>
            <w:tcW w:type="dxa" w:w="212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77,67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 NP</w:t>
            </w:r>
          </w:p>
        </w:tc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34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2× 1-izb., 4× 2-izb., 1× 3-izb.; balkóny 55,26</w:t>
            </w:r>
          </w:p>
        </w:tc>
        <w:tc>
          <w:tcPr>
            <w:tcW w:type="dxa" w:w="173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365,00</w:t>
            </w:r>
          </w:p>
        </w:tc>
        <w:tc>
          <w:tcPr>
            <w:tcW w:type="dxa" w:w="212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71,10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 NP</w:t>
            </w:r>
          </w:p>
        </w:tc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4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2× 1-izb., 3× 2-izb., 1× 3-izb.; balkóny 45,98</w:t>
            </w:r>
          </w:p>
        </w:tc>
        <w:tc>
          <w:tcPr>
            <w:tcW w:type="dxa" w:w="173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307,34</w:t>
            </w:r>
          </w:p>
        </w:tc>
        <w:tc>
          <w:tcPr>
            <w:tcW w:type="dxa" w:w="212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64,53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Spolu</w:t>
            </w:r>
          </w:p>
        </w:tc>
        <w:tc>
          <w:tcPr>
            <w:tcW w:type="dxa" w:w="11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34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3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3 311,86</w:t>
            </w:r>
          </w:p>
        </w:tc>
        <w:tc>
          <w:tcPr>
            <w:tcW w:type="dxa" w:w="212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1 130,70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Zdroj: Pôdorysy a legenda bytov, štúdia prestavby (4/2026). Cieľový počet 62 bytov sa dosiahne využitím 6. NP a optimalizáciou dispozícií v projekte pre stavebné povolenie.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437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809875" cy="2905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12 – Pôdorysy 2. NP a 5. NP podľa dispozičnej štúdie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13 – Pôdorys 1. PP (16 bytov, pivnice, spoločenské priestory)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Pri konzervatívnej priemernej predajnej cene 1 900 – 2 100 €/m² a úžitkovej ploche cca 3 500 m² (po doplnení 6. NP) predstavuje projekt predajný potenciál 6,5 – 7,5 mil. € pri odhadovaných nákladoch prestavby 4,0 – 4,5 mil. €. Výhodou je hotová nosná konštrukcia, existujúce prípojky a vlastníctvo bez tiarch, čo umožňuje rýchly štart.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B73"/>
          <w:sz w:val="26"/>
          <w:szCs w:val="26"/>
        </w:rPr>
        <w:t xml:space="preserve">4.6 Inovácie: IT systémy, umelá inteligencia a stavebná robotika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Spoločnosť chce časť prostriedkov investovať do inovácií, ktoré zrýchlia prácu, zlepšia riadenie a ekonomiku firmy a pripravia ju na rastúce ceny práce v stavebníctve: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Interné IT systémy a digitalizácia: </w:t>
      </w:r>
      <w:r>
        <w:rPr>
          <w:rFonts w:ascii="Arial" w:cs="Arial" w:eastAsia="Arial" w:hAnsi="Arial"/>
          <w:sz w:val="21"/>
          <w:szCs w:val="21"/>
        </w:rPr>
        <w:t xml:space="preserve">jednotný ERP a projektový systém pre riadenie zákaziek, dochádzky a vysielania pracovníkov do Nemecka, elektronický obeh dokladov a fakturácie, mobilné aplikácie pre stavbyvedúcich (denníky, výkazy, fotodokumentácia), BIM a digitálne rozpočtovanie.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Umelá inteligencia: </w:t>
      </w:r>
      <w:r>
        <w:rPr>
          <w:rFonts w:ascii="Arial" w:cs="Arial" w:eastAsia="Arial" w:hAnsi="Arial"/>
          <w:sz w:val="21"/>
          <w:szCs w:val="21"/>
        </w:rPr>
        <w:t xml:space="preserve">automatizované spracovanie výkazov výmer a rozpočtov, plánovanie kapacít a nasadenia pracovníkov, kontrola zmlúv a nemeckej dokumentácie, nábor a administratíva pracovníkov, analytika nákladov projektov v reálnom čase.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Stavebná robotika: </w:t>
      </w:r>
      <w:r>
        <w:rPr>
          <w:rFonts w:ascii="Arial" w:cs="Arial" w:eastAsia="Arial" w:hAnsi="Arial"/>
          <w:sz w:val="21"/>
          <w:szCs w:val="21"/>
        </w:rPr>
        <w:t xml:space="preserve">pilotné nasadenie robotov pre maľovanie, pokládku dlažby na veľkých plochách a montáž sadrokartónových priečok, ktoré už dnes ponúkajú výrobcovia z Číny; s rastúcou cenou práce v Nemecku i na Slovensku ide o príležitosť zvýšiť produktivitu a maržu subdodávok. Plánované vyhodnotenie a pilot 2027 – 2028, nasadenie na vlastných projektoch (Stará Ľubovňa, Vyšné Ružbachy) a následne u nemeckých odberateľov.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Indikatívny rozpočet inovačného programu je 0,4 – 0,8 mil. € v rokoch 2027 – 2029 v závislosti od výšky úveru; investície budú posudzované podľa návratnosti a prioritizované tak, aby priamo znižovali náklady bežiacich projektov.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2"/>
          <w:szCs w:val="32"/>
        </w:rPr>
        <w:t xml:space="preserve">5. Plánované použitie prostriedkov úveru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Použitie prostriedkov zodpovedá účelom podľa § 2 ods. 2.1 Zmluvy. Rozdelenie je indikatívne; o konkrétnom použití rozhoduje Dlžník (bod 2.3 Zmluvy). Percentá sú vztiahnuté k celkovej výške istiny.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963"/>
        <w:gridCol w:w="4820"/>
      </w:tblGrid>
      <w:tr>
        <w:trPr>
          <w:cantSplit/>
          <w:tblHeader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Účel (odkaz na § 2.1 Zmluvy)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Podiel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Konkrétne použitie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Nadobudnutie, výstavba a rekonštrukcia nehnuteľností (písm. c), investície do skupiny (písm. f)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40 %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projektová dokumentácia a stavebné povolenia (Stará Ľubovňa, Vyšné Ružbachy, Sky Hill), búracie a prípravné práce, rozbeh prvej etapy výstavby v Starej Ľubovni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Prevádzkové prostriedky / pracovný kapitál (písm. a)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30 %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predfinancovanie prác a materiálu na zákazkách Senec – Margovo a Chorvátsko, zábezpeky a zádržné, preklenutie splatnosti faktúr nemeckých odberateľov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Stroje, zariadenia a technológie (písm. b)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12 %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stavebná technika pre výstavbu inžinierskych sietí, debnenie, lešenie, dopravné prostriedky; pilotné robotické zariadenia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Inovácie, vývoj a digitalizácia (písm. g)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8 %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ERP a projektové systémy, AI nástroje, BIM, mobilné aplikácie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Personálne náklady a rozvoj tímu (písm. e), expanzia (písm. d)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5 %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posilnenie projektového a obchodného tímu pre development a chorvátsky trh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Rezerva na nepredvídané výdavky (písm. h)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5 %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likviditná rezerva Skupiny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2"/>
          <w:szCs w:val="32"/>
        </w:rPr>
        <w:t xml:space="preserve">6. Finančný plán a zdroje splatenia úveru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B73"/>
          <w:sz w:val="26"/>
          <w:szCs w:val="26"/>
        </w:rPr>
        <w:t xml:space="preserve">6.1 Výhľad výnosov Skupiny 2026 – 2031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Výhľad vychádza z dosiahnutých výsledkov rokov 2021 – 2025, zo zazmluvnených a rozpracovaných zákaziek a z plánovaných developerských projektov. Ide o odhad manažmentu v miliónoch € (bez DPH); projekty, ktoré ešte nemajú podpísanú zmluvu (generálny zhotoviteľ IBV Senec – Margovo, Sky Hill Residence), do výhľadu zahrnuté nie sú a predstavujú dodatočný potenciál.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963"/>
        <w:gridCol w:w="963"/>
        <w:gridCol w:w="963"/>
        <w:gridCol w:w="963"/>
        <w:gridCol w:w="963"/>
        <w:gridCol w:w="968"/>
      </w:tblGrid>
      <w:tr>
        <w:trPr>
          <w:cantSplit/>
          <w:tblHeader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Segment (mil. €)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2026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2027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2028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2029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2030</w:t>
            </w:r>
          </w:p>
        </w:tc>
        <w:tc>
          <w:tcPr>
            <w:tcW w:type="dxa" w:w="96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2031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Stavebné subdodávky a pracovníci – Nemecko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9,0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9,5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10,0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10,5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11,0</w:t>
            </w:r>
          </w:p>
        </w:tc>
        <w:tc>
          <w:tcPr>
            <w:tcW w:type="dxa" w:w="96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11,5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Senec – Margovo: inžinierske siete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5,0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6,7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96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Chorvátsko: 27 apartmánov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2,3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96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Stará Ľubovňa: predaj bytov (46,0 mil. € spolu)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12,0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18,0</w:t>
            </w:r>
          </w:p>
        </w:tc>
        <w:tc>
          <w:tcPr>
            <w:tcW w:type="dxa" w:w="96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16,0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Vyšné Ružbachy: predaj / prenájom bytov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3,5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3,5</w:t>
            </w:r>
          </w:p>
        </w:tc>
        <w:tc>
          <w:tcPr>
            <w:tcW w:type="dxa" w:w="96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Výnosy Skupiny spolu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9,0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16,5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19,0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26,0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32,5</w:t>
            </w:r>
          </w:p>
        </w:tc>
        <w:tc>
          <w:tcPr>
            <w:tcW w:type="dxa" w:w="96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27,5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B73"/>
          <w:sz w:val="26"/>
          <w:szCs w:val="26"/>
        </w:rPr>
        <w:t xml:space="preserve">6.2 Zdroje na splatenie istiny a úroku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Istina a úrok sú splatné jednorazovo päť rokov od Dňa čerpania (predpoklad: čerpanie koncom roka 2026 / začiatkom 2027, splatnosť koncom roka 2031 / začiatkom 2032). Hlavné zdroje splatenia sú zoradené podľa času, kedy vznikajú: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Graf 3 – Očakávané ročné zdroje na splatenie úveru (odhad manažmentu)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1349"/>
        <w:gridCol w:w="1349"/>
        <w:gridCol w:w="3471"/>
      </w:tblGrid>
      <w:tr>
        <w:trPr>
          <w:cantSplit/>
          <w:tblHeader/>
        </w:trPr>
        <w:tc>
          <w:tcPr>
            <w:tcW w:type="dxa" w:w="34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Zdroj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Obdobie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Odhad (mil. €)</w:t>
            </w:r>
          </w:p>
        </w:tc>
        <w:tc>
          <w:tcPr>
            <w:tcW w:type="dxa" w:w="34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Predpoklad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EBITDA z prevádzky (subdodávky a pracovníci Nemecko)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 – 2031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4,0</w:t>
            </w:r>
          </w:p>
        </w:tc>
        <w:tc>
          <w:tcPr>
            <w:tcW w:type="dxa" w:w="34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marža EBITDA 7 – 8 % pri výnosoch 9,5 – 11,5 mil. € ročne (úroveň rokov 2024 – 2025)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Marža zo zákazky Senec – Margovo (inžinierske siete)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 – 2030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1,9</w:t>
            </w:r>
          </w:p>
        </w:tc>
        <w:tc>
          <w:tcPr>
            <w:tcW w:type="dxa" w:w="34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– 12 % z 11,66 mil. € vrátane dokončovacích prác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Marža z projektu Chorvátsko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 – 2028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0,65</w:t>
            </w:r>
          </w:p>
        </w:tc>
        <w:tc>
          <w:tcPr>
            <w:tcW w:type="dxa" w:w="34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15 % zo 4,33 mil. €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Hrubá marža z predaja bytov Stará Ľubovňa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2029 – 2031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22,0</w:t>
            </w:r>
          </w:p>
        </w:tc>
        <w:tc>
          <w:tcPr>
            <w:tcW w:type="dxa" w:w="34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predaj 46,0 mil. € – rozpočet 24,0 mil. €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Marža / výnos z projektu Vyšné Ružbachy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2028 – 2030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2,1</w:t>
            </w:r>
          </w:p>
        </w:tc>
        <w:tc>
          <w:tcPr>
            <w:tcW w:type="dxa" w:w="34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predajný potenciál 6,5 – 7,5 mil. € – náklady 4,0 – 4,5 mil. €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Spolu zdroje v horizonte splatnosti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2027 – 2031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30,65</w:t>
            </w:r>
          </w:p>
        </w:tc>
        <w:tc>
          <w:tcPr>
            <w:tcW w:type="dxa" w:w="34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pred daňou z príjmov a pred reinvestíciami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B73"/>
          <w:sz w:val="26"/>
          <w:szCs w:val="26"/>
        </w:rPr>
        <w:t xml:space="preserve">6.3 Scenáre výšky úveru a krytie záväzku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Podľa § 4 Zmluvy je úrok jednoduchý (nekapitalizuje sa), takže celková splatná suma po 5 rokoch predstavuje 135 % istiny a pri využití opcie predĺženia o 3 roky 156 % istiny. Nasledujúca tabuľka ukazuje záväzok a jeho krytie pre rôzne výšky istiny: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445"/>
        <w:gridCol w:w="1638"/>
        <w:gridCol w:w="1638"/>
        <w:gridCol w:w="1831"/>
        <w:gridCol w:w="1737"/>
      </w:tblGrid>
      <w:tr>
        <w:trPr>
          <w:cantSplit/>
          <w:tblHeader/>
        </w:trPr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Istina (€)</w:t>
            </w:r>
          </w:p>
        </w:tc>
        <w:tc>
          <w:tcPr>
            <w:tcW w:type="dxa" w:w="14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Úrok za 5 rokov (€)</w:t>
            </w:r>
          </w:p>
        </w:tc>
        <w:tc>
          <w:tcPr>
            <w:tcW w:type="dxa" w:w="1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Splatná suma po 5 rokoch (€)</w:t>
            </w:r>
          </w:p>
        </w:tc>
        <w:tc>
          <w:tcPr>
            <w:tcW w:type="dxa" w:w="1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Splatná suma po 8 rokoch (€)</w:t>
            </w:r>
          </w:p>
        </w:tc>
        <w:tc>
          <w:tcPr>
            <w:tcW w:type="dxa" w:w="183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Krytie zdrojmi 2027 – 2031 (30,65 mil. €)</w:t>
            </w:r>
          </w:p>
        </w:tc>
        <w:tc>
          <w:tcPr>
            <w:tcW w:type="dxa" w:w="173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Krytie ocenenými nehnuteľnosťami (6,17 mil. €)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1 000 000</w:t>
            </w:r>
          </w:p>
        </w:tc>
        <w:tc>
          <w:tcPr>
            <w:tcW w:type="dxa" w:w="14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350 000</w:t>
            </w:r>
          </w:p>
        </w:tc>
        <w:tc>
          <w:tcPr>
            <w:tcW w:type="dxa" w:w="1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1 350 000</w:t>
            </w:r>
          </w:p>
        </w:tc>
        <w:tc>
          <w:tcPr>
            <w:tcW w:type="dxa" w:w="1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1 560 000</w:t>
            </w:r>
          </w:p>
        </w:tc>
        <w:tc>
          <w:tcPr>
            <w:tcW w:type="dxa" w:w="183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22,7×</w:t>
            </w:r>
          </w:p>
        </w:tc>
        <w:tc>
          <w:tcPr>
            <w:tcW w:type="dxa" w:w="173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4,6×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2 000 000</w:t>
            </w:r>
          </w:p>
        </w:tc>
        <w:tc>
          <w:tcPr>
            <w:tcW w:type="dxa" w:w="14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700 000</w:t>
            </w:r>
          </w:p>
        </w:tc>
        <w:tc>
          <w:tcPr>
            <w:tcW w:type="dxa" w:w="1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2 700 000</w:t>
            </w:r>
          </w:p>
        </w:tc>
        <w:tc>
          <w:tcPr>
            <w:tcW w:type="dxa" w:w="1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3 120 000</w:t>
            </w:r>
          </w:p>
        </w:tc>
        <w:tc>
          <w:tcPr>
            <w:tcW w:type="dxa" w:w="183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11,4×</w:t>
            </w:r>
          </w:p>
        </w:tc>
        <w:tc>
          <w:tcPr>
            <w:tcW w:type="dxa" w:w="173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2,3×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3 000 000</w:t>
            </w:r>
          </w:p>
        </w:tc>
        <w:tc>
          <w:tcPr>
            <w:tcW w:type="dxa" w:w="14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1 050 000</w:t>
            </w:r>
          </w:p>
        </w:tc>
        <w:tc>
          <w:tcPr>
            <w:tcW w:type="dxa" w:w="1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4 050 000</w:t>
            </w:r>
          </w:p>
        </w:tc>
        <w:tc>
          <w:tcPr>
            <w:tcW w:type="dxa" w:w="1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4 680 000</w:t>
            </w:r>
          </w:p>
        </w:tc>
        <w:tc>
          <w:tcPr>
            <w:tcW w:type="dxa" w:w="183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7,6×</w:t>
            </w:r>
          </w:p>
        </w:tc>
        <w:tc>
          <w:tcPr>
            <w:tcW w:type="dxa" w:w="173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1,5×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5 000 000</w:t>
            </w:r>
          </w:p>
        </w:tc>
        <w:tc>
          <w:tcPr>
            <w:tcW w:type="dxa" w:w="14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1 750 000</w:t>
            </w:r>
          </w:p>
        </w:tc>
        <w:tc>
          <w:tcPr>
            <w:tcW w:type="dxa" w:w="1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6 750 000</w:t>
            </w:r>
          </w:p>
        </w:tc>
        <w:tc>
          <w:tcPr>
            <w:tcW w:type="dxa" w:w="1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7 800 000</w:t>
            </w:r>
          </w:p>
        </w:tc>
        <w:tc>
          <w:tcPr>
            <w:tcW w:type="dxa" w:w="183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4,5×</w:t>
            </w:r>
          </w:p>
        </w:tc>
        <w:tc>
          <w:tcPr>
            <w:tcW w:type="dxa" w:w="173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0,9×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Krytie nehnuteľnosťami je uvedené len informatívne – úver je podľa § 1 ods. 1.3 Zmluvy nezabezpečený. Všeobecné hodnoty: Stará Ľubovňa 1,85 mil. € (areál so záložným právom banky k 7/2024), Banská Bystrica 2,42 mil. € (bez tiarch), Vyšné Ružbachy 1,90 mil. € (bez tiarch).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Graf 4 – Celková splatná suma po 5 rokoch podľa výšky istiny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Aj v konzervatívnom scenári, v ktorom by sa developerský projekt v Starej Ľubovni oneskoril o dva roky a Skupina by mala k dispozícii iba prevádzkovú EBITDA, marže zo zákaziek Senec – Margovo a Chorvátsko a výnos z Vyšných Ružbachov (spolu cca 8,6 mil. €), ostáva záväzok z úveru do výšky istiny 5 mil. € plne krytý. Opcia predĺženia splatnosti o 3 roky (§ 5 ods. 5.4) a možnosť predčasného splatenia bez sankcie (§ 5 ods. 5.3) dávajú Dlžníkovi flexibilitu prispôsobiť splatenie skutočnému priebehu projektov.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2"/>
          <w:szCs w:val="32"/>
        </w:rPr>
        <w:t xml:space="preserve">7. Harmonogram realizácie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Graf 5 – Indikatívny harmonogram projektov Skupiny 2026 – 2032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cantSplit/>
          <w:tblHeader/>
        </w:trPr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Obdobie</w:t>
            </w:r>
          </w:p>
        </w:tc>
        <w:tc>
          <w:tcPr>
            <w:tcW w:type="dxa" w:w="80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Míľniky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Q4 2026</w:t>
            </w:r>
          </w:p>
        </w:tc>
        <w:tc>
          <w:tcPr>
            <w:tcW w:type="dxa" w:w="80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podpis Zmluvy o úvere a splnenie podmienok podľa § 6; podpis zmluvy o dielo Senec – Margovo (11/2026); projekt pre stavebné povolenie Stará Ľubovňa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</w:t>
            </w:r>
          </w:p>
        </w:tc>
        <w:tc>
          <w:tcPr>
            <w:tcW w:type="dxa" w:w="80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čerpanie úveru; štart výstavby inžinierskych sietí Senec – Margovo a projektu v Chorvátsku; stavebné povolenie Stará Ľubovňa; projekt a stavebné povolenie Vyšné Ružbachy; projektová príprava Sky Hill Residence; zavedenie ERP a AI nástrojov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2028</w:t>
            </w:r>
          </w:p>
        </w:tc>
        <w:tc>
          <w:tcPr>
            <w:tcW w:type="dxa" w:w="80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dokončenie sietí Senec – Margovo a apartmánov v Chorvátsku; účasť v súťaži na generálneho zhotoviteľa IBV; výstavba 1. etapy Stará Ľubovňa; prestavba Vyšné Ružbachy; pilot stavebnej robotiky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2029</w:t>
            </w:r>
          </w:p>
        </w:tc>
        <w:tc>
          <w:tcPr>
            <w:tcW w:type="dxa" w:w="80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predaj bytov 1. etapy Stará Ľubovňa; dokončenie a predaj bytov Vyšné Ružbachy; stavebné povolenie Sky Hill Residence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2030</w:t>
            </w:r>
          </w:p>
        </w:tc>
        <w:tc>
          <w:tcPr>
            <w:tcW w:type="dxa" w:w="80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výstavba a predaj ďalších etáp Stará Ľubovňa; realizácia Sky Hill Residence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2031 – 2032</w:t>
            </w:r>
          </w:p>
        </w:tc>
        <w:tc>
          <w:tcPr>
            <w:tcW w:type="dxa" w:w="80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dopredaj bytov Stará Ľubovňa; splatenie istiny a úroku v Deň splatnosti (alebo predčasne podľa § 5.3)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2"/>
          <w:szCs w:val="32"/>
        </w:rPr>
        <w:t xml:space="preserve">8. Riziká a ich riadenie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Riziko</w:t>
            </w:r>
          </w:p>
        </w:tc>
        <w:tc>
          <w:tcPr>
            <w:tcW w:type="dxa" w:w="578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Opatrenia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Oneskorenie stavebných povolení (Stará Ľubovňa, Vyšné Ružbachy, Sky Hill)</w:t>
            </w:r>
          </w:p>
        </w:tc>
        <w:tc>
          <w:tcPr>
            <w:tcW w:type="dxa" w:w="578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projekty sú v rôznych štádiách a lokalitách, čo rozkladá riziko; územné rozhodnutia sú platné; pri omeškaní sa použije opcia predĺženia splatnosti (§ 5.4)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Pokles dopytu alebo cien bytov</w:t>
            </w:r>
          </w:p>
        </w:tc>
        <w:tc>
          <w:tcPr>
            <w:tcW w:type="dxa" w:w="578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etapizácia výstavby a predaj „z papiera“ pred ďalšou etapou; konzervatívne predajné ceny v plánoch; možnosť čiastočného prenájmu (Vyšné Ružbachy)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Rast stavebných nákladov</w:t>
            </w:r>
          </w:p>
        </w:tc>
        <w:tc>
          <w:tcPr>
            <w:tcW w:type="dxa" w:w="578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výstavba vlastnými kapacitami, dlhodobé vzťahy s dodávateľmi materiálu, rezerva v rozpočtoch, robotizácia vybraných profesií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Posun podpisu zmluvy Senec – Margovo</w:t>
            </w:r>
          </w:p>
        </w:tc>
        <w:tc>
          <w:tcPr>
            <w:tcW w:type="dxa" w:w="578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zmluva viazaná na stavebné povolenie na cesty, ktoré je v konaní; prevádzka v Nemecku pokrýva fixné náklady Skupiny nezávisle od tejto zákazky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Závislosť od nemeckého stavebného trhu</w:t>
            </w:r>
          </w:p>
        </w:tc>
        <w:tc>
          <w:tcPr>
            <w:tcW w:type="dxa" w:w="578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diverzifikácia do developmentu a inžinierskych sietí na Slovensku a do Chorvátska; viacero nemeckých odberateľov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Likvidita a časový nesúlad príjmov a výdavkov</w:t>
            </w:r>
          </w:p>
        </w:tc>
        <w:tc>
          <w:tcPr>
            <w:tcW w:type="dxa" w:w="578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jednorazová splatnosť úveru bez priebežných splátok; rezerva 5 % z úveru; možnosť predčasného splatenia pri skoršom predaji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Personálne riziko (kľúčové osoby)</w:t>
            </w:r>
          </w:p>
        </w:tc>
        <w:tc>
          <w:tcPr>
            <w:tcW w:type="dxa" w:w="578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posilnenie projektového tímu z prostriedkov úveru, digitalizácia procesov znižuje závislosť od jednotlivcov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2"/>
          <w:szCs w:val="32"/>
        </w:rPr>
        <w:t xml:space="preserve">9. Záver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Skupina BauHausEurope vstupuje do obdobia, v ktorom sa jej dlhodobo budovaný majetkový základ (nehnuteľnosti ocenené na 6,17 mil. €) a prevádzkové skúsenosti z nemeckého trhu premietnu do vlastných developerských projektov s plánovanou predajnou hodnotou vyše 50 mil. €. Úver od GR Construction AB s päťročnou jednorazovou splatnosťou presne zodpovedá investičnému cyklu týchto projektov. Dlžník je presvedčený, že zdroje vytvorené v horizonte splatnosti niekoľkonásobne prevýšia záväzok z úveru vrátane úroku, a zaväzuje sa poskytovať Veriteľovi informácie v rozsahu § 8 Zmluvy.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Tento podnikateľský plán má v zmysle bodu 2.2 Zmluvy informatívny charakter. Odhady výnosov, marží a harmonogramov sú odhadmi manažmentu k dátumu vypracovania a budú priebežne aktualizované.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B73"/>
          <w:sz w:val="26"/>
          <w:szCs w:val="26"/>
        </w:rPr>
        <w:t xml:space="preserve">Zoznam podkladov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Znalecký posudok č. 87/2024 (Ing. Peter Repčák, 22. 7. 2024) – prevádzkové stavby s príslušenstvom a pozemkami, Levočská 11, Stará Ľubovňa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Znalecký posudok č. 34/2025 (Ing. Lucia Orosiová, 7. 12. 2025) – pozemky Tulská ul., k. ú. Radvaň, Banská Bystrica, vrátane výpisov z LV č. 3478, 3915, 3916 a 4656 a kópie katastrálnej mapy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Znalecký posudok č. 21/2026 (Ing. Slavko Sabol, 8. 3. 2026) – rozostavané rekreačné zariadenie a pozemky, k. ú. Vyšné Ružbachy, vrátane výpisu z LV č. 1274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Architektonicko-urbanistická štúdia „Polyfunkčné bytové domy Stará Pekáreň“ / River Residence Stará Ľubovňa (HARAJČÍK ARCHITEKTI s. r. o., 03/2025) vrátane sprievodnej správy S.01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Pôdorysy a legenda bytov – dispozičná štúdia prestavby objektu Vyšné Ružbachy (4/2026)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Účtovné závierky BauHausEurope s. r. o. za roky 2021 – 2025 (Register účtovných závierok SR)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Informácie o projekte Senec – Margovo (senecmargovo.sk)</w:t>
      </w:r>
    </w:p>
    <w:p>
      <w:pPr>
        <w:keepNext/>
        <w:spacing w:after="60" w:before="800"/>
      </w:pPr>
      <w:r>
        <w:rPr>
          <w:rFonts w:ascii="Arial" w:cs="Arial" w:eastAsia="Arial" w:hAnsi="Arial"/>
          <w:sz w:val="21"/>
          <w:szCs w:val="21"/>
        </w:rPr>
        <w:t xml:space="preserve">V Bratislave, dňa ____________</w:t>
      </w:r>
    </w:p>
    <w:p>
      <w:pPr>
        <w:keepNext/>
        <w:spacing w:after="0" w:before="600"/>
      </w:pPr>
      <w:r>
        <w:rPr>
          <w:rFonts w:ascii="Arial" w:cs="Arial" w:eastAsia="Arial" w:hAnsi="Arial"/>
          <w:sz w:val="21"/>
          <w:szCs w:val="21"/>
        </w:rPr>
        <w:t xml:space="preserve">______________________________</w:t>
      </w:r>
    </w:p>
    <w:p>
      <w:pPr>
        <w:keepNext/>
        <w:spacing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BauHausEurope s. r. o.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Bc. Ľubomír Kruk, konateľ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2514E"/>
        <w:sz w:val="16"/>
        <w:szCs w:val="16"/>
      </w:rPr>
      <w:t xml:space="preserve">Strana </w:t>
    </w:r>
    <w:r>
      <w:rPr>
        <w:rFonts w:ascii="Arial" w:cs="Arial" w:eastAsia="Arial" w:hAnsi="Arial"/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3" w:sz="4" w:space="4"/>
      </w:pBdr>
      <w:jc w:val="right"/>
    </w:pPr>
    <w:r>
      <w:rPr>
        <w:rFonts w:ascii="Arial" w:cs="Arial" w:eastAsia="Arial" w:hAnsi="Arial"/>
        <w:color w:val="52514E"/>
        <w:sz w:val="15"/>
        <w:szCs w:val="15"/>
      </w:rPr>
      <w:t xml:space="preserve">Príloha č. 1 k Zmluve o úvere  |  BauHausEurope s. r. o.  |  Podnikateľský plán a prehľad investičných aktivít  |  DÔVERNÉ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B7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A78D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3014770d61ccbd5005fa5d747d4deae77e67b3.png"/><Relationship Id="rId10" Type="http://schemas.openxmlformats.org/officeDocument/2006/relationships/image" Target="media/b4779074bb0a6026e6392e3542d5039bd6c8d526.png"/><Relationship Id="rId11" Type="http://schemas.openxmlformats.org/officeDocument/2006/relationships/image" Target="media/12f123e2e05be62b0d6e3103b744a1f9d9e51502.png"/><Relationship Id="rId12" Type="http://schemas.openxmlformats.org/officeDocument/2006/relationships/image" Target="media/f14921cc6ec4c463fe17ee841397fc9ced659621.jpg"/><Relationship Id="rId13" Type="http://schemas.openxmlformats.org/officeDocument/2006/relationships/image" Target="media/55f3febee8b117c5067cf91af6bdb0236cfc6f7b.jpg"/><Relationship Id="rId14" Type="http://schemas.openxmlformats.org/officeDocument/2006/relationships/image" Target="media/acfa467c61a10f0011b6ce2020305b30b7af0e29.jpg"/><Relationship Id="rId15" Type="http://schemas.openxmlformats.org/officeDocument/2006/relationships/image" Target="media/e225e0548469061a33053344811020ad8ef6964a.jpg"/><Relationship Id="rId16" Type="http://schemas.openxmlformats.org/officeDocument/2006/relationships/image" Target="media/ac51c732ad1d7383bbd4d19746205b53e671c427.jpg"/><Relationship Id="rId17" Type="http://schemas.openxmlformats.org/officeDocument/2006/relationships/image" Target="media/175ab8913dbbd3545b175085d95cbd75e1f093cd.jpg"/><Relationship Id="rId18" Type="http://schemas.openxmlformats.org/officeDocument/2006/relationships/image" Target="media/678d4705fdc04177e98ea10050b5670bf331a38a.jpg"/><Relationship Id="rId19" Type="http://schemas.openxmlformats.org/officeDocument/2006/relationships/image" Target="media/85f25b891a1cb513192e797046f0ae02d83ad081.jpg"/><Relationship Id="rId20" Type="http://schemas.openxmlformats.org/officeDocument/2006/relationships/image" Target="media/4373087b01792ac8bc55d1b276ed3917275b2ec5.jpg"/><Relationship Id="rId21" Type="http://schemas.openxmlformats.org/officeDocument/2006/relationships/image" Target="media/4ac96dd4003389855ff69408ef525a0fc4e8374d.jpg"/><Relationship Id="rId22" Type="http://schemas.openxmlformats.org/officeDocument/2006/relationships/image" Target="media/6a7cac83661c20302f47f31ed1d7c2fedaae135b.jpg"/><Relationship Id="rId23" Type="http://schemas.openxmlformats.org/officeDocument/2006/relationships/image" Target="media/c451f2ef3474232a5dec6570a818abda24bae7d1.jpg"/><Relationship Id="rId24" Type="http://schemas.openxmlformats.org/officeDocument/2006/relationships/image" Target="media/e7715b1de5a84ee722c964cc3ca2e557981cd983.jpg"/><Relationship Id="rId25" Type="http://schemas.openxmlformats.org/officeDocument/2006/relationships/image" Target="media/5b92dc5afe65eb6ca51ca56b4e4ae49d52d254bf.jpg"/><Relationship Id="rId26" Type="http://schemas.openxmlformats.org/officeDocument/2006/relationships/image" Target="media/a6d983a70c2687188b2fa66e87a2ca490bf623da.jpg"/><Relationship Id="rId27" Type="http://schemas.openxmlformats.org/officeDocument/2006/relationships/image" Target="media/d6be1b299e87a207b4241ecb4e56d8db375c4746.jpg"/><Relationship Id="rId28" Type="http://schemas.openxmlformats.org/officeDocument/2006/relationships/image" Target="media/b865ba8e5488d6d5878a04b4d05ca825766b42c9.jpg"/><Relationship Id="rId29" Type="http://schemas.openxmlformats.org/officeDocument/2006/relationships/image" Target="media/977e1f82954281974a749f9dfff0c6d47b6c1388.jpg"/><Relationship Id="rId30" Type="http://schemas.openxmlformats.org/officeDocument/2006/relationships/image" Target="media/e6605e82a00e661981ff621a40bf711e75f218a0.jpg"/><Relationship Id="rId31" Type="http://schemas.openxmlformats.org/officeDocument/2006/relationships/image" Target="media/12a8f1574bcd5b8d656391cc7404a2c9aeb06bd8.jpg"/><Relationship Id="rId32" Type="http://schemas.openxmlformats.org/officeDocument/2006/relationships/image" Target="media/4962e7b97ba8329fd20a0fa82c0dd96ae9574c5c.jpg"/><Relationship Id="rId33" Type="http://schemas.openxmlformats.org/officeDocument/2006/relationships/image" Target="media/2e9f748ecec05486f790c90235bd8dcdeb918ca9.jpg"/><Relationship Id="rId34" Type="http://schemas.openxmlformats.org/officeDocument/2006/relationships/image" Target="media/b4d5ed217baeee54f3b61f78a0c4c5233b71683d.jpg"/><Relationship Id="rId35" Type="http://schemas.openxmlformats.org/officeDocument/2006/relationships/image" Target="media/56f1bc33b9a36263c1572b4115109b3eed1cecca.png"/><Relationship Id="rId36" Type="http://schemas.openxmlformats.org/officeDocument/2006/relationships/image" Target="media/15d9080435e3bca6c5592563bbe311ed41a31cdf.png"/><Relationship Id="rId37" Type="http://schemas.openxmlformats.org/officeDocument/2006/relationships/image" Target="media/2523e9dbbc6a63bee616d5ed172ffdb1a0072fec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Príloha č. 1 – Podnikateľský plán BauHausEurope s. r. o.</dc:title>
  <dc:creator>BauHausEurope s. r. o.</dc:creator>
  <cp:lastModifiedBy>Un-named</cp:lastModifiedBy>
  <cp:revision>1</cp:revision>
  <dcterms:created xsi:type="dcterms:W3CDTF">2026-10-23T07:30:36.575Z</dcterms:created>
  <dcterms:modified xsi:type="dcterms:W3CDTF">2026-10-23T07:30:36.581Z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