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 podľa LV č. 1382 (ZBGIS eviduje parcelu 775/1 s výmerou 7 389 m²),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urbanistický obvod V06; polyfunkčná plocha pre obytnú zástavbu bytových domov a občianskej vybavenosti (ÚPI mesta č. MsÚ-SL-151/195/2025 z 9. 1. 2026); max. 8 NP, zastavanosť do 50 %, zeleň min. 20 %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 č. MsÚ-SL-151/195/2025 (9. 1. 2026), inžiniersko-geologický a hydrogeologický prieskum (vykonaný, podložie vyhovujúce pre výstavbu),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Hranice areálu podľa katastrálnej mapy: parcely 775/1 (7 389 m² podľa ZBGIS), 775/2, 775/3, 775/4 a 775/5, vlastník BauHausEurope s. r. o., podiel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5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Mestský úrad Stará Ľubovňa, oddelenie výstavby, územného rozvoja a životného prostredia, vydal k pozemkom C KN parc. č. 775/1, 775/2, 775/3, 775/4 a 775/5, k. ú. Stará Ľubovňa (LV č. 1382) územnoplánovaciu informáciu – potvrdenie o funkčnom využití pozemku, č. MsÚ-SL-151/195/2025 zo dňa 9. 1. 2026 (vybavuje Ing. Anna Hrebíková, vedúca oddelenia). Podľa platnej územnoplánovacej dokumentácie mesta v znení Zmien a doplnkov č. 1, 2, 3 a 4 sa pozemky nachádzajú v urbanistickom obvode V06 a sú funkčne využiteľné ako polyfunkčná plocha pre obytnú zástavbu bytových domov a občianskej vybavenosti v rozsahu návrhu. Občianska vybavenosť, do ktorej ÚPN zaraďuje aj nákupné centrá, je teda na pozemkoch prípustnou funkciou. Záväzné regulatívy pre uvedenú plochu: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Funkčné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polyfunkčná plocha pre obytnú zástavbu bytových domov a občianskej vybavenosti; polyfunkčné plochy sú územia s minimálne dvoma funkciami, ktoré sa vzájomne dopĺňajú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Podlažnosť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max. 8 NP vrátane podkrovia, neprípustnosť ustúpeného podlažia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pozemnými stavbami do 50 % z plochy pozemku (t. j. do cca 5 390 m² zastavanej plochy)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Statická 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 nebytový priestor podľa príslušnej STN; pri podnikateľských aktivitách na plochách občianskej vybavenosti zabezpečiť plochy pre statickú dopravu v zmysle STN 73 6110 vždy na vlastnom pozemku; pre byty 2 státia / 1 byt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Zeleň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index zelene min. 20 % z plochy pozemku stavby (zelené strechy a steny sa do indexu nezapočítavajú)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Ďalšie požiadavky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prestrešené a uzamykateľné stojisko na odpad ako súčasť zámeru; posúdenie hlukovej záťaže z cestnej dopravy pred výstavbou; nepoužívať neobvyklé farebné odtiene ako prevládajúce farby fasád, pri viacerých objektoch jednotné farebné vyhotovenie; technické napojenie na existujúce uličné rozvody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Vyjadrenie mesta má informatívny charakter a nenahrádza rozhodnutia a stanoviská dotknutých orgánov v povoľovacom konaní. Kópiu územnoplánovacej informácie v plnom znení priložíme k podkladom na obhliadku. Pri predajni s plochou 3 000 – 5 000 m² a parkoviskom na vlastnom pozemku sú regulatívy zastavanosti (50 %) a zelene (20 %) splniteľné.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inžiniersko-geologický a hydrogeologický prieskum je hotový s vyhovujúcim výsledkom – podložie je vhodné na zakladanie stavby bez mimoriadnych opatrení.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883947cf4d9d79b5e21644460c3fe4e5c7d3d2a0.jpg"/><Relationship Id="rId13" Type="http://schemas.openxmlformats.org/officeDocument/2006/relationships/image" Target="media/ee05d334edf4c606ca083ebf48bbaf6fa52d27ed.png"/><Relationship Id="rId14" Type="http://schemas.openxmlformats.org/officeDocument/2006/relationships/image" Target="media/58c0138c18503a3458ff5a8c393ac2f1a68f1dd1.png"/><Relationship Id="rId15" Type="http://schemas.openxmlformats.org/officeDocument/2006/relationships/image" Target="media/e43014770d61ccbd5005fa5d747d4deae77e67b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2026-10-29T14:48:09.388Z</dcterms:created>
  <dcterms:modified xsi:type="dcterms:W3CDTF">2026-10-29T14:48:09.388Z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