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obszar zabudowany miasta, istniejący teren produkcyjno-magazynowy; przeznaczenie według planu miasta i ważna decyzja lokalizacyjna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miasta, badania geologiczno-inżynierskie i hydrogeologiczne (w toku),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Plan zagospodarowania przestrzennego miasta Stará Ľubovňa (ÚPN mesta, opracowanie ARLAND s. r. o., Spišská Nová Ves; część wiążąca z lipca 2015 r.) zalicza teren do obszaru zabudowanego miasta jako istniejący teren produkcyjno-magazynowy w dolinie Jakubianki przy południowym wjeździe do miasta. Dla zamierzenia centrum handlowego istotne są następujące ustalenia części wiążącej: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Tereny usług publicznych i komercyjnych (OV)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służy podstawowym i wyższym usługom; plan wprost wymienia tereny centrów handlowych wśród terenów usług; dopuszczalne są obiekty handlu detalicznego i drobnych usług, administracja, infrastruktura techniczna, zieleń publiczna i place zabaw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Transformacja terenów produkcyjnych (PFovv)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 przewiduje przekształcanie dawnych terenów produkcyjnych w tereny wielofunkcyjne usługi – produkcja z uzupełniającymi usługami handlowymi i administracyjnymi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Ustalenie 1.1.1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miasto jako centrum regionalne wyznacza tereny usług podstawowych i wyższych również dla obszaru oddziaływania powiatu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Ustalenie 1.2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 centrum miasta i centrach dzielnicowych rewitalizować usługi handlu i usług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Komunikacja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 przewiduje wewnętrzną obwodnicę z przeprawą nad ul. Levočską oraz południowo-wschodnią obwodnicę Levočská – Prešovská, co dodatkowo poprawi dostępność lokalizacji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Ciek wodny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sąsiaduje z uregulowaną rzeką Jakubianka; warunki zabudowy przy rzece (strefa ochronna, ochrona przeciwpowodziowa) określi stanowisko zarządcy cieku oraz informacja planistyczna miasta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zabudowy; zamierzenie Merkury Market zostanie uzgodnione z miastem, a w razie potrzeby wydana zostanie nowa decyzja lokalizacyjna dla centrum handlowego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Wiążącą informację planistyczną dla działek 775/1 – 775/5 wydaje Miasto Stará Ľubovňa (urząd budowlany) na wniosek właściciela; BauHausEurope wystąpi o nią niezwłocznie po potwierdzeniu zainteresowania Merkury Market i dołączy ją do dokumentacji na wizję lokalną wraz ze stanowiskiem miasta wobec zamierzenia centrum handlowego.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[uzupełnić]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ee05d334edf4c606ca083ebf48bbaf6fa52d27ed.png"/><Relationship Id="rId13" Type="http://schemas.openxmlformats.org/officeDocument/2006/relationships/image" Target="media/58c0138c18503a3458ff5a8c393ac2f1a68f1d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2026-10-29T13:51:03.755Z</dcterms:created>
  <dcterms:modified xsi:type="dcterms:W3CDTF">2026-10-29T13:51:03.758Z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