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części, które można łączyć: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BauHausEurope jako generalny wykonawca zapewni rozbiórkę własnym sprzętem (w tym kruszarką betonu), roboty ziemne, budowę sklepu, parkingu i sieci.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zabudowany miasta; ważna decyzja lokalizacyjna dla zabudowy wielofunkcyjnej z parterem handlowym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(2024), pomiar geodezyjny, studium architektoniczne (2025), badania geologiczno-inżynierskie i hydrogeologiczne (w toku), dokumentacja projektowa istniejących obiektów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Położenie terenu w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Szersze otoczenie: Stará Ľubovňa przy drodze I/68 między Preszowem a granicą polską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Kształt i granice terenu między ulicą Levočską a rzeką Jakubianka (ze studium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Build-to-suit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BauHausEurope buduje obiekt w standardzie Merkury Market i wynajmuje go na 15 – 20 lat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finansowanie budowy, projekt, pozwolenia, budowa, zarządzanie obiektem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centrum handlowe bez własnej inwestycji w grunt i budynek, czynsz od otwarcia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(współpracujemy z pracownią, która przygotowała studium dla tego terenu),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studium),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(wielofunkcyjne budynki mieszkalne); 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studium,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[uzupełnić]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2026-10-29T13:36:24.322Z</dcterms:created>
  <dcterms:modified xsi:type="dcterms:W3CDTF">2026-10-29T13:36:24.322Z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