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EcoStruxure Value Advisor — Demo Briefing</w:t>
      </w:r>
    </w:p>
    <w:p>
      <w:pPr/>
      <w:r>
        <w:t xml:space="preserve">Sep 27, 2026</w:t>
      </w:r>
      <w:r>
        <w:t xml:space="preserve"> · </w:t>
      </w:r>
      <w:r>
        <w:t xml:space="preserve">@Rose</w:t>
      </w:r>
    </w:p>
    <w:p>
      <w:pPr/>
      <w:r>
        <w:t xml:space="preserve">This is the reference page for the pitch: where every number on screen comes from, why the tool is a real commercial argument for Schneider Electric, what to volunteer about its limits before you're asked, and exactly what to click during the demo.</w:t>
      </w:r>
    </w:p>
    <w:p>
      <w:pPr>
        <w:pStyle w:val="Heading2"/>
      </w:pPr>
      <w:r>
        <w:t xml:space="preserve">Where each figure comes from</w:t>
      </w:r>
    </w:p>
    <w:p>
      <w:pPr/>
      <w:r>
        <w:t xml:space="preserve">Every number the calculator produces traces to a version-stamped source file, not a guess — this is the table to point to if a judge asks "where did this come from."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Figure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Value used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Source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Grid Emission Factor</w:t>
            </w:r>
          </w:p>
        </w:tc>
        <w:tc>
          <w:tcPr>
            <w:tcW w:w="2340" w:type="dxa"/>
          </w:tcPr>
          <w:p>
            <w:pPr/>
            <w:r>
              <w:t xml:space="preserve">0.402 kg CO2/kWh</w:t>
            </w:r>
          </w:p>
        </w:tc>
        <w:tc>
          <w:tcPr>
            <w:tcW w:w="2340" w:type="dxa"/>
          </w:tcPr>
          <w:p>
            <w:pPr/>
            <w:r>
              <w:t xml:space="preserve">EMA Singapore, Grid Emission Factor 2024</w:t>
            </w:r>
          </w:p>
        </w:tc>
        <w:tc>
          <w:tcPr>
            <w:tcW w:w="2340" w:type="dxa"/>
          </w:tcPr>
          <w:p>
            <w:pPr/>
            <w:r>
              <w:t xml:space="preserve">Singapore-specific, not an international proxy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Electricity tariff</w:t>
            </w:r>
          </w:p>
        </w:tc>
        <w:tc>
          <w:tcPr>
            <w:tcW w:w="2340" w:type="dxa"/>
          </w:tcPr>
          <w:p>
            <w:pPr/>
            <w:r>
              <w:t xml:space="preserve">S$0.3191/kWh</w:t>
            </w:r>
          </w:p>
        </w:tc>
        <w:tc>
          <w:tcPr>
            <w:tcW w:w="2340" w:type="dxa"/>
          </w:tcPr>
          <w:p>
            <w:pPr/>
            <w:r>
              <w:t xml:space="preserve">SP Group, Q3 2026 published tariff</w:t>
            </w:r>
          </w:p>
        </w:tc>
        <w:tc>
          <w:tcPr>
            <w:tcW w:w="2340" w:type="dxa"/>
          </w:tcPr>
          <w:p>
            <w:pPr/>
            <w:r>
              <w:t xml:space="preserve">Refreshed quarterly; 2%/yr escalation assumed on top for projections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Carbon tax schedule</w:t>
            </w:r>
          </w:p>
        </w:tc>
        <w:tc>
          <w:tcPr>
            <w:tcW w:w="2340" w:type="dxa"/>
          </w:tcPr>
          <w:p>
            <w:pPr/>
            <w:r>
              <w:t xml:space="preserve">S$25 (2024-25) to S$45 (2026-27), indicative S$65 by 2030</w:t>
            </w:r>
          </w:p>
        </w:tc>
        <w:tc>
          <w:tcPr>
            <w:tcW w:w="2340" w:type="dxa"/>
          </w:tcPr>
          <w:p>
            <w:pPr/>
            <w:r>
              <w:t xml:space="preserve">NEA / MSE, under the Carbon Pricing (Amendment) Act 2022</w:t>
            </w:r>
          </w:p>
        </w:tc>
        <w:tc>
          <w:tcPr>
            <w:tcW w:w="2340" w:type="dxa"/>
          </w:tcPr>
          <w:p>
            <w:pPr/>
            <w:r>
              <w:t xml:space="preserve">The first two steps are legislated law, not a forecast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Sector energy-intensity bands (best/average/poor, kWh/m2/yr)</w:t>
            </w:r>
          </w:p>
        </w:tc>
        <w:tc>
          <w:tcPr>
            <w:tcW w:w="2340" w:type="dxa"/>
          </w:tcPr>
          <w:p>
            <w:pPr/>
            <w:r>
              <w:t xml:space="preserve">e.g. Office/Professional Services: 111/144/182</w:t>
            </w:r>
          </w:p>
        </w:tc>
        <w:tc>
          <w:tcPr>
            <w:tcW w:w="2340" w:type="dxa"/>
          </w:tcPr>
          <w:p>
            <w:pPr/>
            <w:r>
              <w:t xml:space="preserve">BCA Building Energy Benchmarking Report (primary-source spreadsheet)</w:t>
            </w:r>
          </w:p>
        </w:tc>
        <w:tc>
          <w:tcPr>
            <w:tcW w:w="2340" w:type="dxa"/>
          </w:tcPr>
          <w:p>
            <w:pPr/>
            <w:r>
              <w:t xml:space="preserve">Corrected this build cycle after an earlier search pass returned conflicting figures — verified against BCA's own dataset directly rather than secondary summaries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ECM saving ranges and cost tiers</w:t>
            </w:r>
          </w:p>
        </w:tc>
        <w:tc>
          <w:tcPr>
            <w:tcW w:w="2340" w:type="dxa"/>
          </w:tcPr>
          <w:p>
            <w:pPr/>
            <w:r>
              <w:t xml:space="preserve">e.g. LED retrofit 30-60% saving</w:t>
            </w:r>
          </w:p>
        </w:tc>
        <w:tc>
          <w:tcPr>
            <w:tcW w:w="2340" w:type="dxa"/>
          </w:tcPr>
          <w:p>
            <w:pPr/>
            <w:r>
              <w:t xml:space="preserve">ASHRAE, US DOE, ENERGY STAR</w:t>
            </w:r>
          </w:p>
        </w:tc>
        <w:tc>
          <w:tcPr>
            <w:tcW w:w="2340" w:type="dxa"/>
          </w:tcPr>
          <w:p>
            <w:pPr/>
            <w:r>
              <w:t xml:space="preserve">Cross-checked against Schneider's own published case studies; an "unusually high" warning fires if a computed result falls outside real precedent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Scope 3 methodology</w:t>
            </w:r>
          </w:p>
        </w:tc>
        <w:tc>
          <w:tcPr>
            <w:tcW w:w="2340" w:type="dxa"/>
          </w:tcPr>
          <w:p>
            <w:pPr/>
            <w:r>
              <w:t xml:space="preserve">Spend/activity-based EEIO</w:t>
            </w:r>
          </w:p>
        </w:tc>
        <w:tc>
          <w:tcPr>
            <w:tcW w:w="2340" w:type="dxa"/>
          </w:tcPr>
          <w:p>
            <w:pPr/>
            <w:r>
              <w:t xml:space="preserve">US EPA EEIO v2.0; UK DESNZ/DEFRA conversion factors</w:t>
            </w:r>
          </w:p>
        </w:tc>
        <w:tc>
          <w:tcPr>
            <w:tcW w:w="2340" w:type="dxa"/>
          </w:tcPr>
          <w:p>
            <w:pPr/>
            <w:r>
              <w:t xml:space="preserve">Quantified for reporting, deliberately not monetised — Schneider doesn't control a client's supply chain, so no product claim is attached to it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Energy Efficiency Grant</w:t>
            </w:r>
          </w:p>
        </w:tc>
        <w:tc>
          <w:tcPr>
            <w:tcW w:w="2340" w:type="dxa"/>
          </w:tcPr>
          <w:p>
            <w:pPr/>
            <w:r>
              <w:t xml:space="preserve">Up to S$30,000, 70% co-funded</w:t>
            </w:r>
          </w:p>
        </w:tc>
        <w:tc>
          <w:tcPr>
            <w:tcW w:w="2340" w:type="dxa"/>
          </w:tcPr>
          <w:p>
            <w:pPr/>
            <w:r>
              <w:t xml:space="preserve">EnterpriseSG / GoBusiness</w:t>
            </w:r>
          </w:p>
        </w:tc>
        <w:tc>
          <w:tcPr>
            <w:tcW w:w="2340" w:type="dxa"/>
          </w:tcPr>
          <w:p>
            <w:pPr/>
            <w:r>
              <w:t xml:space="preserve">Shown as a separate nudge, never folded into the modelled savings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Case-study proof points</w:t>
            </w:r>
          </w:p>
        </w:tc>
        <w:tc>
          <w:tcPr>
            <w:tcW w:w="2340" w:type="dxa"/>
          </w:tcPr>
          <w:p>
            <w:pPr/>
            <w:r>
              <w:t xml:space="preserve">JLL APAC HQ (30% cut), Samwoh Smart Hub (S$220k/yr, ~4yr payback), Marriott (10-15%), Kallang Pulse Schneider SG HQ (3.3yr payback)</w:t>
            </w:r>
          </w:p>
        </w:tc>
        <w:tc>
          <w:tcPr>
            <w:tcW w:w="2340" w:type="dxa"/>
          </w:tcPr>
          <w:p>
            <w:pPr/>
            <w:r>
              <w:t xml:space="preserve">Schneider Electric's own published, verified case studies</w:t>
            </w:r>
          </w:p>
        </w:tc>
        <w:tc>
          <w:tcPr>
            <w:tcW w:w="2340" w:type="dxa"/>
          </w:tcPr>
          <w:p>
            <w:pPr/>
            <w:r>
              <w:t xml:space="preserve">Used as "this is achievable" evidence, never as the basis for any specific company's own modelled number</w:t>
            </w:r>
          </w:p>
        </w:tc>
      </w:tr>
    </w:tbl>
    <w:p>
      <w:pPr>
        <w:pStyle w:val="Heading2"/>
      </w:pPr>
      <w:r>
        <w:t xml:space="preserve">Why this works for Schneider Electric</w:t>
      </w:r>
    </w:p>
    <w:p>
      <w:pPr/>
      <w:r>
        <w:t xml:space="preserve">It replaces "we think you could save 15-30% of your energy bill, roughly" with a number a CFO can actually approve — that gap is the entire commercial argument.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Closes the credibility gap that kills capex.</w:t>
      </w:r>
      <w:r>
        <w:t xml:space="preserve"> A capex committee compares proposals on cost, payback, and certainty. A blended industry-average percentage loses to a modelled return with named measures, even when the underlying opportunity is bigger.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Demonstrated on the judges' own buildings, not a synthetic example.</w:t>
      </w:r>
      <w:r>
        <w:t xml:space="preserve"> The personalised Thales, Monee, and Garena reports use only public information run through the live engine — makes the pitch visceral rather than hypothetical.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Ranks by real payback, not visibility.</w:t>
      </w:r>
      <w:r>
        <w:t xml:space="preserve"> Facilities teams default to whatever's visible (lighting). In Singapore's cooling-dominant climate, HVAC and chiller-plant measures are usually the biggest lever — the tool routes attention and budget there first.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Positions Schneider as the rigorous, transparent advisor</w:t>
      </w:r>
      <w:r>
        <w:t xml:space="preserve">, not a vendor pushing a black-box percentage — a real differentiator against anyone quoting an unsourced range.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Reusable, not a one-off demo.</w:t>
      </w:r>
      <w:r>
        <w:t xml:space="preserve"> Same engine, same architecture extends to any sector or market by swapping the underlying data files — this is a sales and engineering tool, not a single pitch prop.</w:t>
      </w:r>
    </w:p>
    <w:p>
      <w:pPr>
        <w:pStyle w:val="Heading2"/>
      </w:pPr>
      <w:r>
        <w:t xml:space="preserve">Limitations to lead with</w:t>
      </w:r>
    </w:p>
    <w:p>
      <w:pPr/>
      <w:r>
        <w:t xml:space="preserve">Volunteer these before a judge asks — disclosing them first is itself part of the credibility pitch.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Confidence is rated Low (±27.5-35%)</w:t>
      </w:r>
      <w:r>
        <w:t xml:space="preserve"> whenever electricity use is estimated from floor area rather than a real meter reading — shown on every screen and report, never hidden. It sharpens automatically once real kWh data is entered.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Cost figures are generic order-of-magnitude tiers</w:t>
      </w:r>
      <w:r>
        <w:t xml:space="preserve"> (e.g. S$5,000-20,000 for a "low" cost measure), not a site-specific quote.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Landlord-controlled measures need explicit exclusion for tenants.</w:t>
      </w:r>
      <w:r>
        <w:t xml:space="preserve"> Demonstrated live with Monee and Garena: a naive full-catalog sum gave an uncredible 37% on an already Green-Mark-Platinum building neither company controls the chiller plant of — excluding what a tenant can't act on brought it to a defensible 28%, using the same engine with nothing hand-edited.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Scope 1 defaults to 0 without input.</w:t>
      </w:r>
      <w:r>
        <w:t xml:space="preserve"> A data gap where no public information exists, not a claim that real direct emissions are zero.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This is a calculator demonstration, not a professional energy audit.</w:t>
      </w:r>
      <w:r>
        <w:t xml:space="preserve"> Positioned deliberately as the first number in the room, not the last word — a Schneider advisor working from real utility bills produces a materially more precise version of every figure shown.</w:t>
      </w:r>
    </w:p>
    <w:p>
      <w:pPr>
        <w:pStyle w:val="Heading2"/>
      </w:pPr>
      <w:r>
        <w:t xml:space="preserve">Demo script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Open the live calculator, not a screenshot.</w:t>
      </w:r>
      <w:r>
        <w:t xml:space="preserve"> Sets the tone immediately: this is a working tool, not a mockup.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Walk the wizard briefly</w:t>
      </w:r>
      <w:r>
        <w:t xml:space="preserve"> — business info, then energy &amp; fuel. Say out loud: "completable from a utility bill alone — no consultant, no site visit, to get a first number."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Land on the Results headline card.</w:t>
      </w:r>
      <w:r>
        <w:t xml:space="preserve"> Saving range, payback, confidence rating, in one glance — this answers "is this worth my time" before anything else.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Click through the Top 3 recommended measures.</w:t>
      </w:r>
      <w:r>
        <w:t xml:space="preserve"> Open one for its evidence and how-to-implement text. This is the credibility moment — a named, sourced measure, not a guess.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Scroll to "How we got to X%"</w:t>
      </w:r>
      <w:r>
        <w:t xml:space="preserve"> and walk the four-step chain live for one measure. This is the standout differentiator versus a single blended percentage — slow down here.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Tick and untick a measure in the "Cost of doing nothing vs. acting" chart.</w:t>
      </w:r>
      <w:r>
        <w:t xml:space="preserve"> Shows the tool responding live, not a static slide — a genuine "alive" moment.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If demoing on Monee's or Garena's own profile: point out the landlord-controlled tag</w:t>
      </w:r>
      <w:r>
        <w:t xml:space="preserve"> on the chiller measures. Ties directly to their own building and shows the tool catching an implausible number and correcting it honestly, live.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Show the Limitations section / confidence rating before anyone asks "how sure are you."</w:t>
      </w:r>
      <w:r>
        <w:t xml:space="preserve"> Disarms the skepticism question pre-emptively — pairs directly with the Limitations section above.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Close on the PDF export.</w:t>
      </w:r>
      <w:r>
        <w:t xml:space="preserve"> "You can walk away with your own version of this today" — and note the three personalised reports (Thales, Monee, Garena) already exist as leave-behinds if the room wants to see their own company's numbers without live data entry.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EcoStruxure Value Advisor — Demo Briefing</dc:title>
  <dc:description>Claude Docs node/66d680eb-8844@6 docx-w6</dc:description>
  <cp:revision>6</cp:revision>
</cp:coreProperties>
</file>