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olor w:val="0A4A34"/>
          <w:sz w:val="56"/>
          <w:szCs w:val="56"/>
        </w:rPr>
        <w:t>ECOSTRUXURE VALUE ADVISOR</w:t>
      </w:r>
    </w:p>
    <w:p>
      <w:pPr>
        <w:spacing w:after="0" w:before="80"/>
        <w:jc w:val="center"/>
      </w:pPr>
      <w:r>
        <w:rPr>
          <w:rFonts w:ascii="Calibri" w:cs="Calibri" w:eastAsia="Calibri" w:hAnsi="Calibri"/>
          <w:i/>
          <w:iCs/>
          <w:color w:val="555555"/>
          <w:sz w:val="24"/>
          <w:szCs w:val="24"/>
        </w:rPr>
        <w:t>Schneider Electric Emissions-to-Dollar Calculator — Singapore</w:t>
      </w:r>
    </w:p>
    <w:p>
      <w:pPr>
        <w:spacing w:after="0" w:before="40"/>
        <w:jc w:val="center"/>
      </w:pPr>
      <w:r>
        <w:rPr>
          <w:rFonts w:ascii="Calibri" w:cs="Calibri" w:eastAsia="Calibri" w:hAnsi="Calibri"/>
          <w:color w:val="1A1A1A"/>
          <w:sz w:val="22"/>
          <w:szCs w:val="22"/>
        </w:rPr>
        <w:t xml:space="preserve">An Emissions-to-Dollar Financial Illustration Tool for Singapore Commercial Buildings</w:t>
      </w:r>
    </w:p>
    <w:p>
      <w:pPr>
        <w:pBdr>
          <w:top w:val="single" w:color="CBBFAF" w:sz="6" w:space="8"/>
          <w:bottom w:val="single" w:color="CBBFAF" w:sz="6" w:space="8"/>
        </w:pBdr>
        <w:spacing w:after="0" w:before="700"/>
        <w:jc w:val="center"/>
      </w:pPr>
      <w:r>
        <w:rPr>
          <w:rFonts w:ascii="Calibri" w:cs="Calibri" w:eastAsia="Calibri" w:hAnsi="Calibri"/>
          <w:b/>
          <w:bCs/>
          <w:color w:val="0F6B4C"/>
          <w:sz w:val="20"/>
          <w:szCs w:val="20"/>
        </w:rPr>
        <w:t xml:space="preserve">PROJECT REPORT</w:t>
      </w:r>
    </w:p>
    <w:p>
      <w:pPr>
        <w:spacing w:after="40" w:before="700"/>
        <w:jc w:val="center"/>
      </w:pPr>
      <w:r>
        <w:rPr>
          <w:rFonts w:ascii="Calibri" w:cs="Calibri" w:eastAsia="Calibri" w:hAnsi="Calibri"/>
          <w:color w:val="555555"/>
          <w:sz w:val="20"/>
          <w:szCs w:val="20"/>
        </w:rPr>
        <w:t xml:space="preserve">September 2026  |  Singapore</w:t>
      </w:r>
    </w:p>
    <w:p>
      <w:pPr>
        <w:spacing w:after="40" w:before="40"/>
        <w:jc w:val="center"/>
      </w:pPr>
      <w:r>
        <w:rPr>
          <w:rFonts w:ascii="Calibri" w:cs="Calibri" w:eastAsia="Calibri" w:hAnsi="Calibri"/>
          <w:color w:val="555555"/>
          <w:sz w:val="20"/>
          <w:szCs w:val="20"/>
        </w:rPr>
        <w:t xml:space="preserve">Prepared for review by Monee, Garena, and Thales (Singapore) — commercial-building context</w:t>
      </w:r>
    </w:p>
    <w:p>
      <w:pPr>
        <w:spacing w:after="0" w:before="900"/>
        <w:jc w:val="center"/>
      </w:pPr>
      <w:r>
        <w:rPr>
          <w:rFonts w:ascii="Calibri" w:cs="Calibri" w:eastAsia="Calibri" w:hAnsi="Calibri"/>
          <w:i/>
          <w:iCs/>
          <w:color w:val="555555"/>
          <w:sz w:val="17"/>
          <w:szCs w:val="17"/>
        </w:rPr>
        <w:t xml:space="preserve">Every figure, source, and methodology referenced in this report is traceable to the live calculator's versioned data files (/data/*.json) and calculation engine — see citations throughout and the References section at the end.</w:t>
      </w:r>
    </w:p>
    <w:p>
      <w:r>
        <w:br w:type="page"/>
      </w:r>
    </w:p>
    <w:p>
      <w:pPr>
        <w:sectPr>
          <w:pgSz w:w="11906" w:h="16838" w:orient="portrait"/>
          <w:pgMar w:top="1100" w:right="1200" w:bottom="1100" w:left="1200" w:header="708" w:footer="708" w:gutter="0"/>
          <w:pgNumType/>
          <w:docGrid w:linePitch="360"/>
        </w:sectPr>
      </w:pPr>
    </w:p>
    <w:p>
      <w:pPr>
        <w:pStyle w:val="Heading1"/>
        <w:pBdr>
          <w:bottom w:val="single" w:color="0F6B4C" w:sz="8" w:space="4"/>
        </w:pBdr>
        <w:spacing w:after="200" w:before="480"/>
      </w:pPr>
      <w:r>
        <w:rPr>
          <w:rFonts w:ascii="Calibri" w:cs="Calibri" w:eastAsia="Calibri" w:hAnsi="Calibri"/>
          <w:b/>
          <w:bCs/>
          <w:color w:val="0A4A34"/>
          <w:sz w:val="30"/>
          <w:szCs w:val="30"/>
        </w:rPr>
        <w:t xml:space="preserve">1. Problem Statement</w:t>
      </w:r>
    </w:p>
    <w:p>
      <w:pPr>
        <w:spacing w:after="160" w:line="276"/>
      </w:pPr>
      <w:r>
        <w:rPr>
          <w:rFonts w:ascii="Calibri" w:cs="Calibri" w:eastAsia="Calibri" w:hAnsi="Calibri"/>
          <w:b w:val="false"/>
          <w:bCs w:val="false"/>
          <w:i w:val="false"/>
          <w:iCs w:val="false"/>
          <w:color w:val="1A1A1A"/>
          <w:sz w:val="21"/>
          <w:szCs w:val="21"/>
        </w:rPr>
        <w:t xml:space="preserve">Singapore commercial buildings — offices, retail, hospitality, data centres, and light-industrial sites — face a widening gap between two facts that rarely get connected in the same conversation: energy and carbon costs are rising and increasingly regulated, and most operations, facilities, and finance teams have no fast, low-cost way to convert their own utility data into a concrete, defensible dollar figure that justifies an efficiency investment.</w:t>
      </w:r>
    </w:p>
    <w:p>
      <w:pPr>
        <w:spacing w:after="160" w:line="276"/>
      </w:pPr>
      <w:r>
        <w:rPr>
          <w:rFonts w:ascii="Calibri" w:cs="Calibri" w:eastAsia="Calibri" w:hAnsi="Calibri"/>
          <w:b w:val="false"/>
          <w:bCs w:val="false"/>
          <w:i w:val="false"/>
          <w:iCs w:val="false"/>
          <w:color w:val="1A1A1A"/>
          <w:sz w:val="21"/>
          <w:szCs w:val="21"/>
        </w:rPr>
        <w:t xml:space="preserve">Three regulatory and market forces converge on this gap:</w:t>
      </w:r>
    </w:p>
    <w:p>
      <w:pPr>
        <w:pStyle w:val="ListParagraph"/>
        <w:numPr>
          <w:ilvl w:val="0"/>
          <w:numId w:val="2"/>
        </w:numPr>
        <w:spacing w:after="90" w:line="264"/>
      </w:pPr>
      <w:r>
        <w:rPr>
          <w:rFonts w:ascii="Calibri" w:cs="Calibri" w:eastAsia="Calibri" w:hAnsi="Calibri"/>
          <w:color w:val="1A1A1A"/>
          <w:sz w:val="21"/>
          <w:szCs w:val="21"/>
        </w:rPr>
        <w:t xml:space="preserve">Singapore's carbon tax is legislated to rise from S$25/tCO₂e (2024–25) to S$45/tCO₂e (2026–27), with an indicative S$50–S$80/tCO₂e band for 2030 under the Carbon Pricing (Amendment) Act 2022 — an 80% jump that lands automatically, with no change in operations required to trigger it.</w:t>
      </w:r>
    </w:p>
    <w:p>
      <w:pPr>
        <w:pStyle w:val="ListParagraph"/>
        <w:numPr>
          <w:ilvl w:val="0"/>
          <w:numId w:val="2"/>
        </w:numPr>
        <w:spacing w:after="90" w:line="264"/>
      </w:pPr>
      <w:r>
        <w:rPr>
          <w:rFonts w:ascii="Calibri" w:cs="Calibri" w:eastAsia="Calibri" w:hAnsi="Calibri"/>
          <w:color w:val="1A1A1A"/>
          <w:sz w:val="21"/>
          <w:szCs w:val="21"/>
        </w:rPr>
        <w:t xml:space="preserve">SP Group's regulated electricity tariff has been volatile and trending upward — Q3 2026 sits at 31.91¢/kWh before GST, up 17% quarter-on-quarter and a record high since the Q1 2024 baseline (29.79¢/kWh) this project began tracking from.</w:t>
      </w:r>
    </w:p>
    <w:p>
      <w:pPr>
        <w:pStyle w:val="ListParagraph"/>
        <w:numPr>
          <w:ilvl w:val="0"/>
          <w:numId w:val="2"/>
        </w:numPr>
        <w:spacing w:after="90" w:line="264"/>
      </w:pPr>
      <w:r>
        <w:rPr>
          <w:rFonts w:ascii="Calibri" w:cs="Calibri" w:eastAsia="Calibri" w:hAnsi="Calibri"/>
          <w:color w:val="1A1A1A"/>
          <w:sz w:val="21"/>
          <w:szCs w:val="21"/>
        </w:rPr>
        <w:t xml:space="preserve">SGX-listed companies now face mandatory climate disclosure aligned to IFRS S2, and any company supplying an SBTi-committed buyer can be asked for auditable Scope 3 data with little notice.</w:t>
      </w:r>
    </w:p>
    <w:p>
      <w:pPr>
        <w:spacing w:after="160" w:line="276"/>
      </w:pPr>
      <w:r>
        <w:rPr>
          <w:rFonts w:ascii="Calibri" w:cs="Calibri" w:eastAsia="Calibri" w:hAnsi="Calibri"/>
          <w:b w:val="false"/>
          <w:bCs w:val="false"/>
          <w:i w:val="false"/>
          <w:iCs w:val="false"/>
          <w:color w:val="1A1A1A"/>
          <w:sz w:val="21"/>
          <w:szCs w:val="21"/>
        </w:rPr>
        <w:t xml:space="preserve">Meanwhile, the tool that would normally answer “what should we do, and what does it save us” — a professional energy audit — is slow (weeks to months) and expensive, and is generally commissioned only for large capital projects, not by the SME or mid-market decision-maker trying to build an internal case before committing to that spend.</w:t>
      </w:r>
    </w:p>
    <w:p>
      <w:pPr>
        <w:spacing w:after="160" w:line="276"/>
      </w:pPr>
      <w:r>
        <w:rPr>
          <w:rFonts w:ascii="Calibri" w:cs="Calibri" w:eastAsia="Calibri" w:hAnsi="Calibri"/>
          <w:b w:val="false"/>
          <w:bCs w:val="false"/>
          <w:i w:val="false"/>
          <w:iCs w:val="false"/>
          <w:color w:val="1A1A1A"/>
          <w:sz w:val="21"/>
          <w:szCs w:val="21"/>
        </w:rPr>
        <w:t>EcoStruxure Value Advisor is built to sit in that gap: a self-serve, instant calculator that a facilities lead, sustainability officer, or account manager can complete from utility bills and basic operational knowledge — no consultant, no site visit required to get a first number — and walk away with a sourced, auditable Scope 1–3 figure, a dollar savings range tied to named efficiency measures, and the cost of carbon-tax inaction laid out year by year.</w:t>
      </w:r>
    </w:p>
    <w:p>
      <w:pPr>
        <w:pStyle w:val="Heading1"/>
        <w:pBdr>
          <w:bottom w:val="single" w:color="0F6B4C" w:sz="8" w:space="4"/>
        </w:pBdr>
        <w:spacing w:after="200" w:before="480"/>
      </w:pPr>
      <w:r>
        <w:rPr>
          <w:rFonts w:ascii="Calibri" w:cs="Calibri" w:eastAsia="Calibri" w:hAnsi="Calibri"/>
          <w:b/>
          <w:bCs/>
          <w:color w:val="0A4A34"/>
          <w:sz w:val="30"/>
          <w:szCs w:val="30"/>
        </w:rPr>
        <w:t xml:space="preserve">2. Why Is This a Problem for the Business</w:t>
      </w:r>
    </w:p>
    <w:p>
      <w:pPr>
        <w:spacing w:after="160" w:line="276"/>
      </w:pPr>
      <w:r>
        <w:rPr>
          <w:rFonts w:ascii="Calibri" w:cs="Calibri" w:eastAsia="Calibri" w:hAnsi="Calibri"/>
          <w:b w:val="false"/>
          <w:bCs w:val="false"/>
          <w:i w:val="false"/>
          <w:iCs w:val="false"/>
          <w:color w:val="1A1A1A"/>
          <w:sz w:val="21"/>
          <w:szCs w:val="21"/>
        </w:rPr>
        <w:t xml:space="preserve">Energy efficiency and decarbonisation projects rarely fail for lack of will — they fail to get budget. Every capex committee compares proposals on the same axis: cost, payback, and certainty. A sustainability project that shows up as “we think we could save 15–30% of our energy bill, roughly” loses to a proposal with a modelled return and a named vendor line item, even when the underlying opportunity is larger.</w:t>
      </w:r>
    </w:p>
    <w:p>
      <w:pPr>
        <w:spacing w:after="100" w:before="220"/>
      </w:pPr>
      <w:r>
        <w:rPr>
          <w:rFonts w:ascii="Calibri" w:cs="Calibri" w:eastAsia="Calibri" w:hAnsi="Calibri"/>
          <w:b/>
          <w:bCs/>
          <w:color w:val="1A1A1A"/>
          <w:sz w:val="22"/>
          <w:szCs w:val="22"/>
        </w:rPr>
        <w:t xml:space="preserve">2.1 Under-investment despite a real, compounding cost</w:t>
      </w:r>
    </w:p>
    <w:p>
      <w:pPr>
        <w:spacing w:after="160" w:line="276"/>
      </w:pPr>
      <w:r>
        <w:rPr>
          <w:rFonts w:ascii="Calibri" w:cs="Calibri" w:eastAsia="Calibri" w:hAnsi="Calibri"/>
          <w:b w:val="false"/>
          <w:bCs w:val="false"/>
          <w:i w:val="false"/>
          <w:iCs w:val="false"/>
          <w:color w:val="1A1A1A"/>
          <w:sz w:val="21"/>
          <w:szCs w:val="21"/>
        </w:rPr>
        <w:t xml:space="preserve">Because the carbon tax trajectory is legislated (S$25 → S$45/tCO₂e is law under the Carbon Pricing (Amendment) Act 2022, not a forecast), a company that delays a decision doesn't defer the cost — it locks in a higher one. Without a tool that makes this arithmetic explicit, that compounding cost stays invisible to the people who approve budget.</w:t>
      </w:r>
    </w:p>
    <w:p>
      <w:pPr>
        <w:spacing w:after="100" w:before="220"/>
      </w:pPr>
      <w:r>
        <w:rPr>
          <w:rFonts w:ascii="Calibri" w:cs="Calibri" w:eastAsia="Calibri" w:hAnsi="Calibri"/>
          <w:b/>
          <w:bCs/>
          <w:color w:val="1A1A1A"/>
          <w:sz w:val="22"/>
          <w:szCs w:val="22"/>
        </w:rPr>
        <w:t xml:space="preserve">2.2 Compliance exposure without a modelling tool</w:t>
      </w:r>
    </w:p>
    <w:p>
      <w:pPr>
        <w:spacing w:after="160" w:line="276"/>
      </w:pPr>
      <w:r>
        <w:rPr>
          <w:rFonts w:ascii="Calibri" w:cs="Calibri" w:eastAsia="Calibri" w:hAnsi="Calibri"/>
          <w:b w:val="false"/>
          <w:bCs w:val="false"/>
          <w:i w:val="false"/>
          <w:iCs w:val="false"/>
          <w:color w:val="1A1A1A"/>
          <w:sz w:val="21"/>
          <w:szCs w:val="21"/>
        </w:rPr>
        <w:t xml:space="preserve">SGX-listed companies and their suppliers face growing pressure to produce IFRS S2/TCFD-aligned climate disclosures and respond to buyer-side Scope 3 data requests. A company without an internal modelling tool either pays a consultant for every iteration of that analysis or under-reports for lack of capability — both carry cost and reputational risk.</w:t>
      </w:r>
    </w:p>
    <w:p>
      <w:pPr>
        <w:spacing w:after="100" w:before="220"/>
      </w:pPr>
      <w:r>
        <w:rPr>
          <w:rFonts w:ascii="Calibri" w:cs="Calibri" w:eastAsia="Calibri" w:hAnsi="Calibri"/>
          <w:b/>
          <w:bCs/>
          <w:color w:val="1A1A1A"/>
          <w:sz w:val="22"/>
          <w:szCs w:val="22"/>
        </w:rPr>
        <w:t xml:space="preserve">2.3 Misallocated capital when priorities aren't ranked</w:t>
      </w:r>
    </w:p>
    <w:p>
      <w:pPr>
        <w:spacing w:after="160" w:line="276"/>
      </w:pPr>
      <w:r>
        <w:rPr>
          <w:rFonts w:ascii="Calibri" w:cs="Calibri" w:eastAsia="Calibri" w:hAnsi="Calibri"/>
          <w:b w:val="false"/>
          <w:bCs w:val="false"/>
          <w:i w:val="false"/>
          <w:iCs w:val="false"/>
          <w:color w:val="1A1A1A"/>
          <w:sz w:val="21"/>
          <w:szCs w:val="21"/>
        </w:rPr>
        <w:t>Without a bottom-up, measure-by-measure breakdown, businesses tend to fund the most visible efficiency project (e.g. an LED retrofit) rather than the one with the best return. For a commercial office in Singapore's tropical, cooling-dominant climate, that is usually HVAC and chiller-plant optimisation, not lighting. Ranking candidate measures by payback (cost ÷ verified annual $ saved), as EcoStruxure Value Advisor does, redirects capital to where it actually pays back fastest.</w:t>
      </w:r>
    </w:p>
    <w:p>
      <w:pPr>
        <w:pStyle w:val="Heading1"/>
        <w:pBdr>
          <w:bottom w:val="single" w:color="0F6B4C" w:sz="8" w:space="4"/>
        </w:pBdr>
        <w:spacing w:after="200" w:before="480"/>
      </w:pPr>
      <w:r>
        <w:rPr>
          <w:rFonts w:ascii="Calibri" w:cs="Calibri" w:eastAsia="Calibri" w:hAnsi="Calibri"/>
          <w:b/>
          <w:bCs/>
          <w:color w:val="0A4A34"/>
          <w:sz w:val="30"/>
          <w:szCs w:val="30"/>
        </w:rPr>
        <w:t xml:space="preserve">3. How This Impacts the Company</w:t>
      </w:r>
    </w:p>
    <w:p>
      <w:pPr>
        <w:spacing w:after="100" w:before="220"/>
      </w:pPr>
      <w:r>
        <w:rPr>
          <w:rFonts w:ascii="Calibri" w:cs="Calibri" w:eastAsia="Calibri" w:hAnsi="Calibri"/>
          <w:b/>
          <w:bCs/>
          <w:color w:val="1A1A1A"/>
          <w:sz w:val="22"/>
          <w:szCs w:val="22"/>
        </w:rPr>
        <w:t xml:space="preserve">3.1 Finance</w:t>
      </w:r>
    </w:p>
    <w:p>
      <w:pPr>
        <w:pStyle w:val="ListParagraph"/>
        <w:numPr>
          <w:ilvl w:val="0"/>
          <w:numId w:val="2"/>
        </w:numPr>
        <w:spacing w:after="90" w:line="264"/>
      </w:pPr>
      <w:r>
        <w:rPr>
          <w:rFonts w:ascii="Calibri" w:cs="Calibri" w:eastAsia="Calibri" w:hAnsi="Calibri"/>
          <w:color w:val="1A1A1A"/>
          <w:sz w:val="21"/>
          <w:szCs w:val="21"/>
        </w:rPr>
        <w:t xml:space="preserve">Energy and carbon costs sit in opex, competing every budget cycle against revenue-generating spend — without a quantified, sourced business case, they consistently lose that competition.</w:t>
      </w:r>
    </w:p>
    <w:p>
      <w:pPr>
        <w:pStyle w:val="ListParagraph"/>
        <w:numPr>
          <w:ilvl w:val="0"/>
          <w:numId w:val="2"/>
        </w:numPr>
        <w:spacing w:after="90" w:line="264"/>
      </w:pPr>
      <w:r>
        <w:rPr>
          <w:rFonts w:ascii="Calibri" w:cs="Calibri" w:eastAsia="Calibri" w:hAnsi="Calibri"/>
          <w:color w:val="1A1A1A"/>
          <w:sz w:val="21"/>
          <w:szCs w:val="21"/>
        </w:rPr>
        <w:t xml:space="preserve">The carbon tax escalation (S$25 → S$45/tCO₂e from 2026, indicatively S$50–S$80/tCO₂e by 2030) is a real, legislated cost trajectory most finance teams have not modelled against their own facility data — it shows up as a surprise line item rather than a forecastable one.</w:t>
      </w:r>
    </w:p>
    <w:p>
      <w:pPr>
        <w:pStyle w:val="ListParagraph"/>
        <w:numPr>
          <w:ilvl w:val="0"/>
          <w:numId w:val="2"/>
        </w:numPr>
        <w:spacing w:after="90" w:line="264"/>
      </w:pPr>
      <w:r>
        <w:rPr>
          <w:rFonts w:ascii="Calibri" w:cs="Calibri" w:eastAsia="Calibri" w:hAnsi="Calibri"/>
          <w:color w:val="1A1A1A"/>
          <w:sz w:val="21"/>
          <w:szCs w:val="21"/>
        </w:rPr>
        <w:t xml:space="preserve">A facility that crosses 25,000 tCO₂e/year of direct (Scope 1) emissions becomes a direct NEA/IRAS carbon taxpayer with an annual reporting obligation — a compliance and cash-flow event that is easy to miss without ongoing tracking.</w:t>
      </w:r>
    </w:p>
    <w:p>
      <w:pPr>
        <w:spacing w:after="100" w:before="220"/>
      </w:pPr>
      <w:r>
        <w:rPr>
          <w:rFonts w:ascii="Calibri" w:cs="Calibri" w:eastAsia="Calibri" w:hAnsi="Calibri"/>
          <w:b/>
          <w:bCs/>
          <w:color w:val="1A1A1A"/>
          <w:sz w:val="22"/>
          <w:szCs w:val="22"/>
        </w:rPr>
        <w:t xml:space="preserve">3.2 Facilities &amp; operations teams</w:t>
      </w:r>
    </w:p>
    <w:p>
      <w:pPr>
        <w:pStyle w:val="ListParagraph"/>
        <w:numPr>
          <w:ilvl w:val="0"/>
          <w:numId w:val="2"/>
        </w:numPr>
        <w:spacing w:after="90" w:line="264"/>
      </w:pPr>
      <w:r>
        <w:rPr>
          <w:rFonts w:ascii="Calibri" w:cs="Calibri" w:eastAsia="Calibri" w:hAnsi="Calibri"/>
          <w:color w:val="1A1A1A"/>
          <w:sz w:val="21"/>
          <w:szCs w:val="21"/>
        </w:rPr>
        <w:t xml:space="preserve">Facilities managers are typically not carbon accountants — asked to “find savings,” they default to whatever is visible (lighting) rather than what the building's own energy-use profile says is dominant (in Singapore's climate, HVAC and chiller-plant load is usually 40–50%+ of a commercial building's electricity).</w:t>
      </w:r>
    </w:p>
    <w:p>
      <w:pPr>
        <w:pStyle w:val="ListParagraph"/>
        <w:numPr>
          <w:ilvl w:val="0"/>
          <w:numId w:val="2"/>
        </w:numPr>
        <w:spacing w:after="90" w:line="264"/>
      </w:pPr>
      <w:r>
        <w:rPr>
          <w:rFonts w:ascii="Calibri" w:cs="Calibri" w:eastAsia="Calibri" w:hAnsi="Calibri"/>
          <w:color w:val="1A1A1A"/>
          <w:sz w:val="21"/>
          <w:szCs w:val="21"/>
        </w:rPr>
        <w:t xml:space="preserve">Commissioning a full energy audit to get a defensible number is a multi-week-to-multi-month process — too slow to support a single budget-cycle decision, and is often commissioned only after the capex case has already been made informally.</w:t>
      </w:r>
    </w:p>
    <w:p>
      <w:pPr>
        <w:spacing w:after="100" w:before="220"/>
      </w:pPr>
      <w:r>
        <w:rPr>
          <w:rFonts w:ascii="Calibri" w:cs="Calibri" w:eastAsia="Calibri" w:hAnsi="Calibri"/>
          <w:b/>
          <w:bCs/>
          <w:color w:val="1A1A1A"/>
          <w:sz w:val="22"/>
          <w:szCs w:val="22"/>
        </w:rPr>
        <w:t xml:space="preserve">3.3 Sustainability / ESG teams</w:t>
      </w:r>
    </w:p>
    <w:p>
      <w:pPr>
        <w:pStyle w:val="ListParagraph"/>
        <w:numPr>
          <w:ilvl w:val="0"/>
          <w:numId w:val="2"/>
        </w:numPr>
        <w:spacing w:after="90" w:line="264"/>
      </w:pPr>
      <w:r>
        <w:rPr>
          <w:rFonts w:ascii="Calibri" w:cs="Calibri" w:eastAsia="Calibri" w:hAnsi="Calibri"/>
          <w:color w:val="1A1A1A"/>
          <w:sz w:val="21"/>
          <w:szCs w:val="21"/>
        </w:rPr>
        <w:t xml:space="preserve">Expected to produce Scope 1–3 figures for SGX disclosure, CDP, or SBTi submissions, but frequently working from spend-based proxies for Scope 3 with no tool to show stakeholders the resulting confidence range or data-quality gap.</w:t>
      </w:r>
    </w:p>
    <w:p>
      <w:pPr>
        <w:pStyle w:val="ListParagraph"/>
        <w:numPr>
          <w:ilvl w:val="0"/>
          <w:numId w:val="2"/>
        </w:numPr>
        <w:spacing w:after="90" w:line="264"/>
      </w:pPr>
      <w:r>
        <w:rPr>
          <w:rFonts w:ascii="Calibri" w:cs="Calibri" w:eastAsia="Calibri" w:hAnsi="Calibri"/>
          <w:color w:val="1A1A1A"/>
          <w:sz w:val="21"/>
          <w:szCs w:val="21"/>
        </w:rPr>
        <w:t>Carry the reputational risk of a figure that doesn't hold up to scrutiny — every unsourced number in a public disclosure is a liability, which is why every figure EcoStruxure Value Advisor produces is traceable to a cited, versioned source (Section 6 and the References list).</w:t>
      </w:r>
    </w:p>
    <w:p>
      <w:pPr>
        <w:spacing w:after="100" w:before="220"/>
      </w:pPr>
      <w:r>
        <w:rPr>
          <w:rFonts w:ascii="Calibri" w:cs="Calibri" w:eastAsia="Calibri" w:hAnsi="Calibri"/>
          <w:b/>
          <w:bCs/>
          <w:color w:val="1A1A1A"/>
          <w:sz w:val="22"/>
          <w:szCs w:val="22"/>
        </w:rPr>
        <w:t xml:space="preserve">3.4 Employees and building occupants</w:t>
      </w:r>
    </w:p>
    <w:p>
      <w:pPr>
        <w:pStyle w:val="ListParagraph"/>
        <w:numPr>
          <w:ilvl w:val="0"/>
          <w:numId w:val="2"/>
        </w:numPr>
        <w:spacing w:after="90" w:line="264"/>
      </w:pPr>
      <w:r>
        <w:rPr>
          <w:rFonts w:ascii="Calibri" w:cs="Calibri" w:eastAsia="Calibri" w:hAnsi="Calibri"/>
          <w:color w:val="1A1A1A"/>
          <w:sz w:val="21"/>
          <w:szCs w:val="21"/>
        </w:rPr>
        <w:t xml:space="preserve">Indirect but real: energy inefficiency in commercial buildings (poor HVAC control, unmanaged chiller plants) affects occupant comfort and productivity — the same measures that cut cost (chiller sequencing, setpoint optimisation) are also comfort-quality levers.</w:t>
      </w:r>
    </w:p>
    <w:p>
      <w:pPr>
        <w:pBdr>
          <w:left w:val="single" w:color="0F6B4C" w:sz="12" w:space="8"/>
        </w:pBdr>
        <w:spacing w:after="200" w:before="60"/>
        <w:ind w:left="260"/>
      </w:pPr>
      <w:r>
        <w:rPr>
          <w:rFonts w:ascii="Calibri" w:cs="Calibri" w:eastAsia="Calibri" w:hAnsi="Calibri"/>
          <w:i/>
          <w:iCs/>
          <w:color w:val="555555"/>
          <w:sz w:val="19"/>
          <w:szCs w:val="19"/>
        </w:rPr>
        <w:t>This impact profile — a mid-to-large commercial office operator with a facilities team, a finance function that approves capex on payback, and growing but not-yet-mature sustainability reporting capability — matches the operating profile of a modern Singapore-based office occupier, which is why this report frames EcoStruxure Value Advisor's primary use case around the Office/Professional Services sector.</w:t>
      </w:r>
    </w:p>
    <w:p>
      <w:r>
        <w:br w:type="page"/>
      </w:r>
    </w:p>
    <w:p>
      <w:pPr>
        <w:pStyle w:val="Heading1"/>
        <w:pBdr>
          <w:bottom w:val="single" w:color="0F6B4C" w:sz="8" w:space="4"/>
        </w:pBdr>
        <w:spacing w:after="200" w:before="480"/>
      </w:pPr>
      <w:r>
        <w:rPr>
          <w:rFonts w:ascii="Calibri" w:cs="Calibri" w:eastAsia="Calibri" w:hAnsi="Calibri"/>
          <w:b/>
          <w:bCs/>
          <w:color w:val="0A4A34"/>
          <w:sz w:val="30"/>
          <w:szCs w:val="30"/>
        </w:rPr>
        <w:t xml:space="preserve">4. What We Discovered</w:t>
      </w:r>
    </w:p>
    <w:p>
      <w:pPr>
        <w:spacing w:after="160" w:line="276"/>
      </w:pPr>
      <w:r>
        <w:rPr>
          <w:rFonts w:ascii="Calibri" w:cs="Calibri" w:eastAsia="Calibri" w:hAnsi="Calibri"/>
          <w:b w:val="false"/>
          <w:bCs w:val="false"/>
          <w:i w:val="false"/>
          <w:iCs w:val="false"/>
          <w:color w:val="1A1A1A"/>
          <w:sz w:val="21"/>
          <w:szCs w:val="21"/>
        </w:rPr>
        <w:t>The findings below are not theoretical — they are documented, dated findings from building and iteratively testing EcoStruxure Value Advisor itself against real input data and real usage patterns, tracked directly in the calculation engine's own source comments and versioned data files so every fix stays traceable to the problem it solves. They fall into three categories: usability findings from testing the input-to-output flow, a direct stakeholder interview on electricity pricing, and field feedback from energy-efficiency practice.</w:t>
      </w:r>
    </w:p>
    <w:p>
      <w:pPr>
        <w:pStyle w:val="Heading2"/>
        <w:spacing w:after="140" w:before="320"/>
      </w:pPr>
      <w:r>
        <w:rPr>
          <w:rFonts w:ascii="Calibri" w:cs="Calibri" w:eastAsia="Calibri" w:hAnsi="Calibri"/>
          <w:b/>
          <w:bCs/>
          <w:color w:val="0F6B4C"/>
          <w:sz w:val="24"/>
          <w:szCs w:val="24"/>
        </w:rPr>
        <w:t xml:space="preserve">4.1 Usability testing findings</w:t>
      </w:r>
    </w:p>
    <w:p>
      <w:pPr>
        <w:spacing w:after="160" w:line="276"/>
      </w:pPr>
      <w:r>
        <w:rPr>
          <w:rFonts w:ascii="Calibri" w:cs="Calibri" w:eastAsia="Calibri" w:hAnsi="Calibri"/>
          <w:b w:val="false"/>
          <w:bCs w:val="false"/>
          <w:i w:val="false"/>
          <w:iCs w:val="false"/>
          <w:color w:val="1A1A1A"/>
          <w:sz w:val="21"/>
          <w:szCs w:val="21"/>
        </w:rPr>
        <w:t xml:space="preserve">Nine issues were found and fixed during build-and-test iteration, tagged by severity (H = high, M = moderate, L = low) and tracked inline in the codebase so every subsequent change can be checked against them: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600"/>
        <w:gridCol w:w="5200"/>
      </w:tblGrid>
      <w:tr>
        <w:trPr>
          <w:tblHeader/>
        </w:trPr>
        <w:tc>
          <w:tcPr>
            <w:tcW w:type="dxa" w:w="700"/>
            <w:shd w:fill="0F6B4C"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w:t>
            </w:r>
          </w:p>
        </w:tc>
        <w:tc>
          <w:tcPr>
            <w:tcW w:type="dxa" w:w="1100"/>
            <w:shd w:fill="0F6B4C"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Severity</w:t>
            </w:r>
          </w:p>
        </w:tc>
        <w:tc>
          <w:tcPr>
            <w:tcW w:type="dxa" w:w="2600"/>
            <w:shd w:fill="0F6B4C"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Finding</w:t>
            </w:r>
          </w:p>
        </w:tc>
        <w:tc>
          <w:tcPr>
            <w:tcW w:type="dxa" w:w="5200"/>
            <w:shd w:fill="0F6B4C"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What it means / how it was fixed</w:t>
            </w:r>
          </w:p>
        </w:tc>
      </w:tr>
      <w:tr>
        <w:tc>
          <w:tcPr>
            <w:tcW w:type="dxa" w:w="7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H1</w:t>
            </w:r>
          </w:p>
        </w:tc>
        <w:tc>
          <w:tcPr>
            <w:tcW w:type="dxa" w:w="11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Critical</w:t>
            </w:r>
          </w:p>
        </w:tc>
        <w:tc>
          <w:tcPr>
            <w:tcW w:type="dxa" w:w="26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Pre-filled demo data silently drove real results</w:t>
            </w:r>
          </w:p>
        </w:tc>
        <w:tc>
          <w:tcPr>
            <w:tcW w:type="dxa" w:w="52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The tool ships with realistic sample numbers so a first-time user sees it working immediately — but if never replaced, those samples kept feeding genuine-looking savings and emissions figures. Fixed by giving "Clear all fields" a genuinely blank state, separate from the demo-data seed.</w:t>
            </w:r>
          </w:p>
        </w:tc>
      </w:tr>
      <w:tr>
        <w:tc>
          <w:tcPr>
            <w:tcW w:type="dxa" w:w="7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H2</w:t>
            </w:r>
          </w:p>
        </w:tc>
        <w:tc>
          <w:tcPr>
            <w:tcW w:type="dxa" w:w="11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Critical</w:t>
            </w:r>
          </w:p>
        </w:tc>
        <w:tc>
          <w:tcPr>
            <w:tcW w:type="dxa" w:w="26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Invalid inputs flowed silently into the maths</w:t>
            </w:r>
          </w:p>
        </w:tc>
        <w:tc>
          <w:tcPr>
            <w:tcW w:type="dxa" w:w="52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A bare truthiness check treats a negative number as valid (only 0/undefined is falsy) — a mistyped “-5000” kWh entry was computed as-is rather than caught. Every raw physical quantity is now clamped to ≥0 before use, and implausible values (e.g. &gt;200,000,000 kWh/year for a single SME) raise an explicit warning instead of silently producing a nonsensical cost figure.</w:t>
            </w:r>
          </w:p>
        </w:tc>
      </w:tr>
      <w:tr>
        <w:tc>
          <w:tcPr>
            <w:tcW w:type="dxa" w:w="7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M1</w:t>
            </w:r>
          </w:p>
        </w:tc>
        <w:tc>
          <w:tcPr>
            <w:tcW w:type="dxa" w:w="11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Moderate</w:t>
            </w:r>
          </w:p>
        </w:tc>
        <w:tc>
          <w:tcPr>
            <w:tcW w:type="dxa" w:w="26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Two savings figures on screen looked contradictory</w:t>
            </w:r>
          </w:p>
        </w:tc>
        <w:tc>
          <w:tcPr>
            <w:tcW w:type="dxa" w:w="52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The sector “position” label (e.g. “worst quartile”) is derived from a calibration curve, while the headline savings % is now ECM-driven — showing both without relating them read as internally inconsistent. Fixed by making the relationship explicit in copy: “sector curve suggests X%; your N selected measures give Y%.”</w:t>
            </w:r>
          </w:p>
        </w:tc>
      </w:tr>
      <w:tr>
        <w:tc>
          <w:tcPr>
            <w:tcW w:type="dxa" w:w="7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M2</w:t>
            </w:r>
          </w:p>
        </w:tc>
        <w:tc>
          <w:tcPr>
            <w:tcW w:type="dxa" w:w="11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Moderate</w:t>
            </w:r>
          </w:p>
        </w:tc>
        <w:tc>
          <w:tcPr>
            <w:tcW w:type="dxa" w:w="26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Wrong baseline comparison for bimodal sectors</w:t>
            </w:r>
          </w:p>
        </w:tc>
        <w:tc>
          <w:tcPr>
            <w:tcW w:type="dxa" w:w="52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A supermarket (refrigeration-heavy) or a cold-storage warehouse was benchmarked against its sector's general-merchandise / ambient-warehouse average and always scored “worst quartile,” regardless of real performance. Fixed by adding sourced sub-profile variants (Retail “supermarket”, Logistics “coldStorage”) with their own benchmark bands.</w:t>
            </w:r>
          </w:p>
        </w:tc>
      </w:tr>
      <w:tr>
        <w:tc>
          <w:tcPr>
            <w:tcW w:type="dxa" w:w="7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M3</w:t>
            </w:r>
          </w:p>
        </w:tc>
        <w:tc>
          <w:tcPr>
            <w:tcW w:type="dxa" w:w="11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Moderate</w:t>
            </w:r>
          </w:p>
        </w:tc>
        <w:tc>
          <w:tcPr>
            <w:tcW w:type="dxa" w:w="26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Investment figure was disconnected from selected measures</w:t>
            </w:r>
          </w:p>
        </w:tc>
        <w:tc>
          <w:tcPr>
            <w:tcW w:type="dxa" w:w="52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The typed investment amount had no link to what efficiency measures were actually ticked, so a S$3M figure against three modest measures (or the reverse) went unflagged. Fixed by summing the selected measures' own cost tiers into a rough, clearly-labelled order-of-magnitude range shown alongside the typed figure.</w:t>
            </w:r>
          </w:p>
        </w:tc>
      </w:tr>
      <w:tr>
        <w:tc>
          <w:tcPr>
            <w:tcW w:type="dxa" w:w="7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M4</w:t>
            </w:r>
          </w:p>
        </w:tc>
        <w:tc>
          <w:tcPr>
            <w:tcW w:type="dxa" w:w="11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Moderate</w:t>
            </w:r>
          </w:p>
        </w:tc>
        <w:tc>
          <w:tcPr>
            <w:tcW w:type="dxa" w:w="26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High-severity warnings were buried</w:t>
            </w:r>
          </w:p>
        </w:tc>
        <w:tc>
          <w:tcPr>
            <w:tcW w:type="dxa" w:w="52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Data-quality issues (missing electricity data, implausible values) were only visible if the user scrolled to the results page. Fixed by surfacing the high-severity subset on a live status strip during data entry, not only at the end.</w:t>
            </w:r>
          </w:p>
        </w:tc>
      </w:tr>
      <w:tr>
        <w:tc>
          <w:tcPr>
            <w:tcW w:type="dxa" w:w="7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M5</w:t>
            </w:r>
          </w:p>
        </w:tc>
        <w:tc>
          <w:tcPr>
            <w:tcW w:type="dxa" w:w="11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Moderate</w:t>
            </w:r>
          </w:p>
        </w:tc>
        <w:tc>
          <w:tcPr>
            <w:tcW w:type="dxa" w:w="26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Unit mismatch for data centres</w:t>
            </w:r>
          </w:p>
        </w:tc>
        <w:tc>
          <w:tcPr>
            <w:tcW w:type="dxa" w:w="52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Comparing a raw kWh/m² intensity against a data centre's PUE-ratio benchmark is an apples-to-oranges comparison. Fixed by computing a genuine PUE (total energy ÷ IT-load energy) whenever the user supplies an IT-load figure, and only then attaching the PUE benchmark.</w:t>
            </w:r>
          </w:p>
        </w:tc>
      </w:tr>
      <w:tr>
        <w:tc>
          <w:tcPr>
            <w:tcW w:type="dxa" w:w="7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M6</w:t>
            </w:r>
          </w:p>
        </w:tc>
        <w:tc>
          <w:tcPr>
            <w:tcW w:type="dxa" w:w="11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Moderate</w:t>
            </w:r>
          </w:p>
        </w:tc>
        <w:tc>
          <w:tcPr>
            <w:tcW w:type="dxa" w:w="26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No visibility into where emissions actually came from</w:t>
            </w:r>
          </w:p>
        </w:tc>
        <w:tc>
          <w:tcPr>
            <w:tcW w:type="dxa" w:w="52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Users saw one Scope 1 total and one Scope 3 total with no breakdown — unable to tell if Scope 1 was dominated by refrigerant leaks, fleet fuel, or gas. Fixed by adding a per-source Scope 1 and per-category Scope 3 breakdown.</w:t>
            </w:r>
          </w:p>
        </w:tc>
      </w:tr>
      <w:tr>
        <w:tc>
          <w:tcPr>
            <w:tcW w:type="dxa" w:w="7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L1</w:t>
            </w:r>
          </w:p>
        </w:tc>
        <w:tc>
          <w:tcPr>
            <w:tcW w:type="dxa" w:w="11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Low</w:t>
            </w:r>
          </w:p>
        </w:tc>
        <w:tc>
          <w:tcPr>
            <w:tcW w:type="dxa" w:w="26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Screen-reader accessible name was verbose and ambiguous</w:t>
            </w:r>
          </w:p>
        </w:tc>
        <w:tc>
          <w:tcPr>
            <w:tcW w:type="dxa" w:w="52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Help text nested inside a form field's &lt;label&gt; made the field's accessible name the label text plus the entire hint paragraph. Fixed by associating the hint via aria-describedby instead.</w:t>
            </w:r>
          </w:p>
        </w:tc>
      </w:tr>
    </w:tbl>
    <w:p>
      <w:pPr>
        <w:spacing w:after="160"/>
      </w:pPr>
    </w:p>
    <w:p>
      <w:pPr>
        <w:pStyle w:val="Heading2"/>
        <w:spacing w:after="140" w:before="320"/>
      </w:pPr>
      <w:r>
        <w:rPr>
          <w:rFonts w:ascii="Calibri" w:cs="Calibri" w:eastAsia="Calibri" w:hAnsi="Calibri"/>
          <w:b/>
          <w:bCs/>
          <w:color w:val="0F6B4C"/>
          <w:sz w:val="24"/>
          <w:szCs w:val="24"/>
        </w:rPr>
        <w:t xml:space="preserve">4.2 Direct stakeholder input</w:t>
      </w:r>
    </w:p>
    <w:p>
      <w:pPr>
        <w:spacing w:after="160" w:line="276"/>
      </w:pPr>
      <w:r>
        <w:rPr>
          <w:rFonts w:ascii="Calibri" w:cs="Calibri" w:eastAsia="Calibri" w:hAnsi="Calibri"/>
          <w:b w:val="false"/>
          <w:bCs w:val="false"/>
          <w:i w:val="false"/>
          <w:iCs w:val="false"/>
          <w:color w:val="1A1A1A"/>
          <w:sz w:val="21"/>
          <w:szCs w:val="21"/>
        </w:rPr>
        <w:t xml:space="preserve">An internal SME stakeholder interview on green electricity pricing surfaced that a dedicated 100%-offsite-renewable retail contract runs approximately 30% higher than a standard plan — this figure was cross-checked against published 2026 retailer pricing (Senoko LifeGreen24, Keppel ecoGreen24, Sembcorp Sunshine Plan) and used to calibrate the “typical” green-tariff premium the calculator applies by default when a user reports partial renewable coverage without specifying their own contracted rate.</w:t>
      </w:r>
    </w:p>
    <w:p>
      <w:pPr>
        <w:pStyle w:val="Heading2"/>
        <w:spacing w:after="140" w:before="320"/>
      </w:pPr>
      <w:r>
        <w:rPr>
          <w:rFonts w:ascii="Calibri" w:cs="Calibri" w:eastAsia="Calibri" w:hAnsi="Calibri"/>
          <w:b/>
          <w:bCs/>
          <w:color w:val="0F6B4C"/>
          <w:sz w:val="24"/>
          <w:szCs w:val="24"/>
        </w:rPr>
        <w:t xml:space="preserve">4.3 Field feedback from energy-efficiency practice</w:t>
      </w:r>
    </w:p>
    <w:p>
      <w:pPr>
        <w:spacing w:after="160" w:line="276"/>
      </w:pPr>
      <w:r>
        <w:rPr>
          <w:rFonts w:ascii="Calibri" w:cs="Calibri" w:eastAsia="Calibri" w:hAnsi="Calibri"/>
          <w:b w:val="false"/>
          <w:bCs w:val="false"/>
          <w:i w:val="false"/>
          <w:iCs w:val="false"/>
          <w:color w:val="1A1A1A"/>
          <w:sz w:val="21"/>
          <w:szCs w:val="21"/>
        </w:rPr>
        <w:t>Feedback gathered during ECM catalog development flagged that Building Management System (BMS) scheduling and setpoint-optimisation savings are not guaranteed the way a hardware retrofit's savings are — realised savings depend on ongoing configuration, commissioning, and use, and commonly regress if the system isn't actively maintained. This is why EcoStruxure Value Advisor tags every catalog measure with a certainty level (“high” for a hardware/capital measure with a fixed physical effect, such as an LED retrofit; “variable” for a controls/software/behavioural measure such as BMS scheduling) rather than presenting every saving with the same confidence.</w:t>
      </w:r>
    </w:p>
    <w:p>
      <w:pPr>
        <w:pStyle w:val="Heading2"/>
        <w:spacing w:after="140" w:before="320"/>
      </w:pPr>
      <w:r>
        <w:rPr>
          <w:rFonts w:ascii="Calibri" w:cs="Calibri" w:eastAsia="Calibri" w:hAnsi="Calibri"/>
          <w:b/>
          <w:bCs/>
          <w:color w:val="0F6B4C"/>
          <w:sz w:val="24"/>
          <w:szCs w:val="24"/>
        </w:rPr>
        <w:t xml:space="preserve">4.4 Desk research and validation against precedent</w:t>
      </w:r>
    </w:p>
    <w:p>
      <w:pPr>
        <w:spacing w:after="160" w:line="276"/>
      </w:pPr>
      <w:r>
        <w:rPr>
          <w:rFonts w:ascii="Calibri" w:cs="Calibri" w:eastAsia="Calibri" w:hAnsi="Calibri"/>
          <w:b w:val="false"/>
          <w:bCs w:val="false"/>
          <w:i w:val="false"/>
          <w:iCs w:val="false"/>
          <w:color w:val="1A1A1A"/>
          <w:sz w:val="21"/>
          <w:szCs w:val="21"/>
        </w:rPr>
        <w:t xml:space="preserve">Every computed savings range is sanity-checked against Schneider Electric's own published, verified case studies rather than relying on theoretical benchmark ranges alone: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600"/>
      </w:tblGrid>
      <w:tr>
        <w:trPr>
          <w:tblHeader/>
        </w:trPr>
        <w:tc>
          <w:tcPr>
            <w:tcW w:type="dxa" w:w="2600"/>
            <w:shd w:fill="0F6B4C"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Client</w:t>
            </w:r>
          </w:p>
        </w:tc>
        <w:tc>
          <w:tcPr>
            <w:tcW w:type="dxa" w:w="2000"/>
            <w:shd w:fill="0F6B4C"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Sector</w:t>
            </w:r>
          </w:p>
        </w:tc>
        <w:tc>
          <w:tcPr>
            <w:tcW w:type="dxa" w:w="2400"/>
            <w:shd w:fill="0F6B4C"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Solution</w:t>
            </w:r>
          </w:p>
        </w:tc>
        <w:tc>
          <w:tcPr>
            <w:tcW w:type="dxa" w:w="2600"/>
            <w:shd w:fill="0F6B4C"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Verified result</w:t>
            </w:r>
          </w:p>
        </w:tc>
      </w:tr>
      <w:tr>
        <w:tc>
          <w:tcPr>
            <w:tcW w:type="dxa" w:w="2600"/>
            <w:tcMar>
              <w:top w:type="dxa" w:w="90"/>
              <w:left w:type="dxa" w:w="110"/>
              <w:bottom w:type="dxa" w:w="90"/>
              <w:right w:type="dxa" w:w="110"/>
            </w:tcMar>
            <w:vAlign w:val="center"/>
          </w:tcPr>
          <w:p>
            <w:r>
              <w:t>JLL Asia-Pacific HQ</w:t>
            </w:r>
          </w:p>
        </w:tc>
        <w:tc>
          <w:tcPr>
            <w:tcW w:type="dxa" w:w="2000"/>
            <w:tcMar>
              <w:top w:type="dxa" w:w="90"/>
              <w:left w:type="dxa" w:w="110"/>
              <w:bottom w:type="dxa" w:w="90"/>
              <w:right w:type="dxa" w:w="110"/>
            </w:tcMar>
            <w:vAlign w:val="center"/>
          </w:tcPr>
          <w:p>
            <w:r>
              <w:t>Commercial Office</w:t>
            </w:r>
          </w:p>
        </w:tc>
        <w:tc>
          <w:tcPr>
            <w:tcW w:type="dxa" w:w="2400"/>
            <w:tcMar>
              <w:top w:type="dxa" w:w="90"/>
              <w:left w:type="dxa" w:w="110"/>
              <w:bottom w:type="dxa" w:w="90"/>
              <w:right w:type="dxa" w:w="110"/>
            </w:tcMar>
            <w:vAlign w:val="center"/>
          </w:tcPr>
          <w:p>
            <w:r>
              <w:t>EcoStruxure Building Operation (EBO)</w:t>
            </w:r>
          </w:p>
        </w:tc>
        <w:tc>
          <w:tcPr>
            <w:tcW w:type="dxa" w:w="2600"/>
            <w:tcMar>
              <w:top w:type="dxa" w:w="90"/>
              <w:left w:type="dxa" w:w="110"/>
              <w:bottom w:type="dxa" w:w="90"/>
              <w:right w:type="dxa" w:w="110"/>
            </w:tcMar>
            <w:vAlign w:val="center"/>
          </w:tcPr>
          <w:p>
            <w:r>
              <w:t>30% energy reduction</w:t>
            </w:r>
          </w:p>
        </w:tc>
      </w:tr>
      <w:tr>
        <w:tc>
          <w:tcPr>
            <w:tcW w:type="dxa" w:w="2600"/>
            <w:shd w:fill="F2F5F1" w:val="clear"/>
            <w:tcMar>
              <w:top w:type="dxa" w:w="90"/>
              <w:left w:type="dxa" w:w="110"/>
              <w:bottom w:type="dxa" w:w="90"/>
              <w:right w:type="dxa" w:w="110"/>
            </w:tcMar>
            <w:vAlign w:val="center"/>
          </w:tcPr>
          <w:p>
            <w:r>
              <w:t>Samwoh Smart Hub</w:t>
            </w:r>
          </w:p>
        </w:tc>
        <w:tc>
          <w:tcPr>
            <w:tcW w:type="dxa" w:w="2000"/>
            <w:shd w:fill="F2F5F1" w:val="clear"/>
            <w:tcMar>
              <w:top w:type="dxa" w:w="90"/>
              <w:left w:type="dxa" w:w="110"/>
              <w:bottom w:type="dxa" w:w="90"/>
              <w:right w:type="dxa" w:w="110"/>
            </w:tcMar>
            <w:vAlign w:val="center"/>
          </w:tcPr>
          <w:p>
            <w:r>
              <w:t>Manufacturing / Industrial</w:t>
            </w:r>
          </w:p>
        </w:tc>
        <w:tc>
          <w:tcPr>
            <w:tcW w:type="dxa" w:w="2400"/>
            <w:shd w:fill="F2F5F1" w:val="clear"/>
            <w:tcMar>
              <w:top w:type="dxa" w:w="90"/>
              <w:left w:type="dxa" w:w="110"/>
              <w:bottom w:type="dxa" w:w="90"/>
              <w:right w:type="dxa" w:w="110"/>
            </w:tcMar>
            <w:vAlign w:val="center"/>
          </w:tcPr>
          <w:p>
            <w:r>
              <w:t>EcoStruxure Building Operation (EBO)</w:t>
            </w:r>
          </w:p>
        </w:tc>
        <w:tc>
          <w:tcPr>
            <w:tcW w:type="dxa" w:w="2600"/>
            <w:shd w:fill="F2F5F1" w:val="clear"/>
            <w:tcMar>
              <w:top w:type="dxa" w:w="90"/>
              <w:left w:type="dxa" w:w="110"/>
              <w:bottom w:type="dxa" w:w="90"/>
              <w:right w:type="dxa" w:w="110"/>
            </w:tcMar>
            <w:vAlign w:val="center"/>
          </w:tcPr>
          <w:p>
            <w:r>
              <w:t>S$220k/yr saved, ~4yr payback, 84% below 2005 baseline — Singapore's first BCA Green Mark Platinum Positive Energy industrial building (2024)</w:t>
            </w:r>
          </w:p>
        </w:tc>
      </w:tr>
      <w:tr>
        <w:tc>
          <w:tcPr>
            <w:tcW w:type="dxa" w:w="2600"/>
            <w:tcMar>
              <w:top w:type="dxa" w:w="90"/>
              <w:left w:type="dxa" w:w="110"/>
              <w:bottom w:type="dxa" w:w="90"/>
              <w:right w:type="dxa" w:w="110"/>
            </w:tcMar>
            <w:vAlign w:val="center"/>
          </w:tcPr>
          <w:p>
            <w:r>
              <w:t>Marriott International</w:t>
            </w:r>
          </w:p>
        </w:tc>
        <w:tc>
          <w:tcPr>
            <w:tcW w:type="dxa" w:w="2000"/>
            <w:tcMar>
              <w:top w:type="dxa" w:w="90"/>
              <w:left w:type="dxa" w:w="110"/>
              <w:bottom w:type="dxa" w:w="90"/>
              <w:right w:type="dxa" w:w="110"/>
            </w:tcMar>
            <w:vAlign w:val="center"/>
          </w:tcPr>
          <w:p>
            <w:r>
              <w:t>Hospitality (Greater China)</w:t>
            </w:r>
          </w:p>
        </w:tc>
        <w:tc>
          <w:tcPr>
            <w:tcW w:type="dxa" w:w="2400"/>
            <w:tcMar>
              <w:top w:type="dxa" w:w="90"/>
              <w:left w:type="dxa" w:w="110"/>
              <w:bottom w:type="dxa" w:w="90"/>
              <w:right w:type="dxa" w:w="110"/>
            </w:tcMar>
            <w:vAlign w:val="center"/>
          </w:tcPr>
          <w:p>
            <w:r>
              <w:t>EBO + Resource Advisor</w:t>
            </w:r>
          </w:p>
        </w:tc>
        <w:tc>
          <w:tcPr>
            <w:tcW w:type="dxa" w:w="2600"/>
            <w:tcMar>
              <w:top w:type="dxa" w:w="90"/>
              <w:left w:type="dxa" w:w="110"/>
              <w:bottom w:type="dxa" w:w="90"/>
              <w:right w:type="dxa" w:w="110"/>
            </w:tcMar>
            <w:vAlign w:val="center"/>
          </w:tcPr>
          <w:p>
            <w:r>
              <w:t>10-15% energy savings achieved</w:t>
            </w:r>
          </w:p>
        </w:tc>
      </w:tr>
      <w:tr>
        <w:tc>
          <w:tcPr>
            <w:tcW w:type="dxa" w:w="2600"/>
            <w:shd w:fill="F2F5F1" w:val="clear"/>
            <w:tcMar>
              <w:top w:type="dxa" w:w="90"/>
              <w:left w:type="dxa" w:w="110"/>
              <w:bottom w:type="dxa" w:w="90"/>
              <w:right w:type="dxa" w:w="110"/>
            </w:tcMar>
            <w:vAlign w:val="center"/>
          </w:tcPr>
          <w:p>
            <w:r>
              <w:t>Kallang Pulse (Schneider SG HQ)</w:t>
            </w:r>
          </w:p>
        </w:tc>
        <w:tc>
          <w:tcPr>
            <w:tcW w:type="dxa" w:w="2000"/>
            <w:shd w:fill="F2F5F1" w:val="clear"/>
            <w:tcMar>
              <w:top w:type="dxa" w:w="90"/>
              <w:left w:type="dxa" w:w="110"/>
              <w:bottom w:type="dxa" w:w="90"/>
              <w:right w:type="dxa" w:w="110"/>
            </w:tcMar>
            <w:vAlign w:val="center"/>
          </w:tcPr>
          <w:p>
            <w:r>
              <w:t>Commercial Office</w:t>
            </w:r>
          </w:p>
        </w:tc>
        <w:tc>
          <w:tcPr>
            <w:tcW w:type="dxa" w:w="2400"/>
            <w:shd w:fill="F2F5F1" w:val="clear"/>
            <w:tcMar>
              <w:top w:type="dxa" w:w="90"/>
              <w:left w:type="dxa" w:w="110"/>
              <w:bottom w:type="dxa" w:w="90"/>
              <w:right w:type="dxa" w:w="110"/>
            </w:tcMar>
            <w:vAlign w:val="center"/>
          </w:tcPr>
          <w:p>
            <w:r>
              <w:t>Microgrid / Energy-as-a-Service</w:t>
            </w:r>
          </w:p>
        </w:tc>
        <w:tc>
          <w:tcPr>
            <w:tcW w:type="dxa" w:w="2600"/>
            <w:shd w:fill="F2F5F1" w:val="clear"/>
            <w:tcMar>
              <w:top w:type="dxa" w:w="90"/>
              <w:left w:type="dxa" w:w="110"/>
              <w:bottom w:type="dxa" w:w="90"/>
              <w:right w:type="dxa" w:w="110"/>
            </w:tcMar>
            <w:vAlign w:val="center"/>
          </w:tcPr>
          <w:p>
            <w:r>
              <w:t>3.3-year payback; S$51,698/yr saved; BCA Green Mark Platinum Zero Energy Award (2023)</w:t>
            </w:r>
          </w:p>
        </w:tc>
      </w:tr>
      <w:tr>
        <w:tc>
          <w:tcPr>
            <w:tcW w:type="dxa" w:w="2600"/>
            <w:tcMar>
              <w:top w:type="dxa" w:w="90"/>
              <w:left w:type="dxa" w:w="110"/>
              <w:bottom w:type="dxa" w:w="90"/>
              <w:right w:type="dxa" w:w="110"/>
            </w:tcMar>
            <w:vAlign w:val="center"/>
          </w:tcPr>
          <w:p>
            <w:r>
              <w:t>Chew's Agriculture</w:t>
            </w:r>
          </w:p>
        </w:tc>
        <w:tc>
          <w:tcPr>
            <w:tcW w:type="dxa" w:w="2000"/>
            <w:tcMar>
              <w:top w:type="dxa" w:w="90"/>
              <w:left w:type="dxa" w:w="110"/>
              <w:bottom w:type="dxa" w:w="90"/>
              <w:right w:type="dxa" w:w="110"/>
            </w:tcMar>
            <w:vAlign w:val="center"/>
          </w:tcPr>
          <w:p>
            <w:r>
              <w:t>Agri / F&amp;B</w:t>
            </w:r>
          </w:p>
        </w:tc>
        <w:tc>
          <w:tcPr>
            <w:tcW w:type="dxa" w:w="2400"/>
            <w:tcMar>
              <w:top w:type="dxa" w:w="90"/>
              <w:left w:type="dxa" w:w="110"/>
              <w:bottom w:type="dxa" w:w="90"/>
              <w:right w:type="dxa" w:w="110"/>
            </w:tcMar>
            <w:vAlign w:val="center"/>
          </w:tcPr>
          <w:p>
            <w:r>
              <w:t>Microgrid deployment</w:t>
            </w:r>
          </w:p>
        </w:tc>
        <w:tc>
          <w:tcPr>
            <w:tcW w:type="dxa" w:w="2600"/>
            <w:tcMar>
              <w:top w:type="dxa" w:w="90"/>
              <w:left w:type="dxa" w:w="110"/>
              <w:bottom w:type="dxa" w:w="90"/>
              <w:right w:type="dxa" w:w="110"/>
            </w:tcMar>
            <w:vAlign w:val="center"/>
          </w:tcPr>
          <w:p>
            <w:r>
              <w:t>10% reduction in maintenance downtime, with reliability gains</w:t>
            </w:r>
          </w:p>
        </w:tc>
      </w:tr>
    </w:tbl>
    <w:p>
      <w:pPr>
        <w:spacing w:after="120"/>
      </w:pPr>
    </w:p>
    <w:p>
      <w:pPr>
        <w:spacing w:after="160" w:line="276"/>
      </w:pPr>
      <w:r>
        <w:rPr>
          <w:rFonts w:ascii="Calibri" w:cs="Calibri" w:eastAsia="Calibri" w:hAnsi="Calibri"/>
          <w:b w:val="false"/>
          <w:bCs w:val="false"/>
          <w:i w:val="false"/>
          <w:iCs w:val="false"/>
          <w:color w:val="1A1A1A"/>
          <w:sz w:val="21"/>
          <w:szCs w:val="21"/>
        </w:rPr>
        <w:t xml:space="preserve">Where a computed result falls outside these precedent ranges (&gt;40% savings, or &lt;2-year payback for a standard building), the tool raises an explicit “unusually high — please verify inputs” warning rather than presenting an implausible figure with false confidence.</w:t>
      </w:r>
    </w:p>
    <w:p>
      <w:pPr>
        <w:pStyle w:val="Heading2"/>
        <w:spacing w:after="140" w:before="320"/>
      </w:pPr>
      <w:r>
        <w:rPr>
          <w:rFonts w:ascii="Calibri" w:cs="Calibri" w:eastAsia="Calibri" w:hAnsi="Calibri"/>
          <w:b/>
          <w:bCs/>
          <w:color w:val="0F6B4C"/>
          <w:sz w:val="24"/>
          <w:szCs w:val="24"/>
        </w:rPr>
        <w:t xml:space="preserve">4.5 A research-first build discipline</w:t>
      </w:r>
    </w:p>
    <w:p>
      <w:pPr>
        <w:spacing w:after="160" w:line="276"/>
      </w:pPr>
      <w:r>
        <w:rPr>
          <w:rFonts w:ascii="Calibri" w:cs="Calibri" w:eastAsia="Calibri" w:hAnsi="Calibri"/>
          <w:b w:val="false"/>
          <w:bCs w:val="false"/>
          <w:i w:val="false"/>
          <w:iCs w:val="false"/>
          <w:color w:val="1A1A1A"/>
          <w:sz w:val="21"/>
          <w:szCs w:val="21"/>
        </w:rPr>
        <w:t>Beyond usability testing, every emission factor, tariff, tax rate, grant figure, and ECM saving range used by the calculator is sourced from an authoritative published body (EMA, NEA/SEFR, MSE, SP Group, EnterpriseSG, BCA Green Mark, IPCC AR5, UK DESNZ/DEFRA, US EPA EEIO, ASHRAE, US DOE, ENERGY STAR) and stored in version-stamped JSON files under /data, each carrying an explicit source field and a proxy flag wherever a figure is an international stand-in rather than a Singapore-specific one. This is what allows every number EcoStruxure Value Advisor produces to survive the scrutiny described in Section 3.3 — see the full References list at the end of this report. Two examples from this build cycle: a 45-test automated suite added against the calculation engine caught a real, previously-unreachable-but-latent bug in the carbon-tax rate function (a pre-2024 calendar year fell through to the wrong legislated rate); and a sector energy-intensity benchmark (Office/Professional Services, Hospitality, Retail, Healthcare) that an earlier research pass had left unresolved — two WebSearch passes returned internally conflicting figures — was corrected by going directly to BCA's own primary-source Building Energy Benchmarks spreadsheet rather than trusting secondary summaries.</w:t>
      </w:r>
    </w:p>
    <w:p>
      <w:r>
        <w:br w:type="page"/>
      </w:r>
    </w:p>
    <w:p>
      <w:pPr>
        <w:pStyle w:val="Heading1"/>
        <w:pBdr>
          <w:bottom w:val="single" w:color="0F6B4C" w:sz="8" w:space="4"/>
        </w:pBdr>
        <w:spacing w:after="200" w:before="480"/>
      </w:pPr>
      <w:r>
        <w:rPr>
          <w:rFonts w:ascii="Calibri" w:cs="Calibri" w:eastAsia="Calibri" w:hAnsi="Calibri"/>
          <w:b/>
          <w:bCs/>
          <w:color w:val="0A4A34"/>
          <w:sz w:val="30"/>
          <w:szCs w:val="30"/>
        </w:rPr>
        <w:t xml:space="preserve">5. What Is the Solution</w:t>
      </w:r>
    </w:p>
    <w:p>
      <w:pPr>
        <w:spacing w:after="160" w:line="276"/>
      </w:pPr>
      <w:r>
        <w:rPr>
          <w:rFonts w:ascii="Calibri" w:cs="Calibri" w:eastAsia="Calibri" w:hAnsi="Calibri"/>
          <w:b w:val="false"/>
          <w:bCs w:val="false"/>
          <w:i w:val="false"/>
          <w:iCs w:val="false"/>
          <w:color w:val="1A1A1A"/>
          <w:sz w:val="21"/>
          <w:szCs w:val="21"/>
        </w:rPr>
        <w:t>EcoStruxure Value Advisor is a web-based, real-time financial modelling tool that converts a company's own operational data — electricity bills, fuel usage, refrigerant top-ups, freight and travel spend — into four connected outputs:</w:t>
      </w:r>
    </w:p>
    <w:p>
      <w:pPr>
        <w:pStyle w:val="ListParagraph"/>
        <w:numPr>
          <w:ilvl w:val="0"/>
          <w:numId w:val="2"/>
        </w:numPr>
        <w:spacing w:after="90" w:line="264"/>
      </w:pPr>
      <w:r>
        <w:rPr>
          <w:rFonts w:ascii="Calibri" w:cs="Calibri" w:eastAsia="Calibri" w:hAnsi="Calibri"/>
          <w:color w:val="1A1A1A"/>
          <w:sz w:val="21"/>
          <w:szCs w:val="21"/>
        </w:rPr>
        <w:t xml:space="preserve">A Scope 1–3 emissions figure in tonnes CO₂e/year, broken down by source, not just a single total.</w:t>
      </w:r>
    </w:p>
    <w:p>
      <w:pPr>
        <w:pStyle w:val="ListParagraph"/>
        <w:numPr>
          <w:ilvl w:val="0"/>
          <w:numId w:val="2"/>
        </w:numPr>
        <w:spacing w:after="90" w:line="264"/>
      </w:pPr>
      <w:r>
        <w:rPr>
          <w:rFonts w:ascii="Calibri" w:cs="Calibri" w:eastAsia="Calibri" w:hAnsi="Calibri"/>
          <w:color w:val="1A1A1A"/>
          <w:sz w:val="21"/>
          <w:szCs w:val="21"/>
        </w:rPr>
        <w:t xml:space="preserve">A concrete S$ savings range, built bottom-up from a sector-specific catalog of named, sourced Energy Conservation Measures (ECMs) — not a single blended “industry average” percentage.</w:t>
      </w:r>
    </w:p>
    <w:p>
      <w:pPr>
        <w:pStyle w:val="ListParagraph"/>
        <w:numPr>
          <w:ilvl w:val="0"/>
          <w:numId w:val="2"/>
        </w:numPr>
        <w:spacing w:after="90" w:line="264"/>
      </w:pPr>
      <w:r>
        <w:rPr>
          <w:rFonts w:ascii="Calibri" w:cs="Calibri" w:eastAsia="Calibri" w:hAnsi="Calibri"/>
          <w:color w:val="1A1A1A"/>
          <w:sz w:val="21"/>
          <w:szCs w:val="21"/>
        </w:rPr>
        <w:t xml:space="preserve">The year-by-year cost of inaction — what the same facility pays in carbon tax and energy cost if nothing changes, as the legislated tax rate escalates.</w:t>
      </w:r>
    </w:p>
    <w:p>
      <w:pPr>
        <w:pStyle w:val="ListParagraph"/>
        <w:numPr>
          <w:ilvl w:val="0"/>
          <w:numId w:val="2"/>
        </w:numPr>
        <w:spacing w:after="90" w:line="264"/>
      </w:pPr>
      <w:r>
        <w:rPr>
          <w:rFonts w:ascii="Calibri" w:cs="Calibri" w:eastAsia="Calibri" w:hAnsi="Calibri"/>
          <w:color w:val="1A1A1A"/>
          <w:sz w:val="21"/>
          <w:szCs w:val="21"/>
        </w:rPr>
        <w:t xml:space="preserve">Named Schneider Electric product recommendations, each tied to the specific measures the company has and hasn't already implemented — so a company that already has a BMS in place is never recommended EcoStruxure Building Operation as if it had nothing.</w:t>
      </w:r>
    </w:p>
    <w:p>
      <w:pPr>
        <w:spacing w:after="160" w:line="276"/>
      </w:pPr>
      <w:r>
        <w:rPr>
          <w:rFonts w:ascii="Calibri" w:cs="Calibri" w:eastAsia="Calibri" w:hAnsi="Calibri"/>
          <w:b w:val="false"/>
          <w:bCs w:val="false"/>
          <w:i w:val="false"/>
          <w:iCs w:val="false"/>
          <w:color w:val="1A1A1A"/>
          <w:sz w:val="21"/>
          <w:szCs w:val="21"/>
        </w:rPr>
        <w:t xml:space="preserve">The output is deliberately structured like a financial advisor's client illustration — stated assumptions, a year-by-year benefit table, a confidence rating, and a named-product recommendation summary — so a non-technical account manager or facilities lead can put a credible, CFO-readable case in front of a decision-maker within a single meeting, without a sustainability consultant translating it first.</w:t>
      </w:r>
    </w:p>
    <w:p>
      <w:pPr>
        <w:spacing w:after="160" w:line="276"/>
      </w:pPr>
      <w:r>
        <w:rPr>
          <w:rFonts w:ascii="Calibri" w:cs="Calibri" w:eastAsia="Calibri" w:hAnsi="Calibri"/>
          <w:b w:val="false"/>
          <w:bCs w:val="false"/>
          <w:i w:val="false"/>
          <w:iCs w:val="false"/>
          <w:color w:val="1A1A1A"/>
          <w:sz w:val="21"/>
          <w:szCs w:val="21"/>
        </w:rPr>
        <w:t xml:space="preserve">Two modes serve two audiences: SME Mode for companies under 200 employees or S$100M revenue (simplified, spend-based Scope 3, completable from utility bills alone), and MNC Mode for larger, multi-site operations (per-site inputs, market- vs. location-based Scope 2 accounting, six priority GHG Protocol Scope 3 categories).</w:t>
      </w:r>
    </w:p>
    <w:p>
      <w:pPr>
        <w:pStyle w:val="Heading1"/>
        <w:pBdr>
          <w:bottom w:val="single" w:color="0F6B4C" w:sz="8" w:space="4"/>
        </w:pBdr>
        <w:spacing w:after="200" w:before="480"/>
      </w:pPr>
      <w:r>
        <w:rPr>
          <w:rFonts w:ascii="Calibri" w:cs="Calibri" w:eastAsia="Calibri" w:hAnsi="Calibri"/>
          <w:b/>
          <w:bCs/>
          <w:color w:val="0A4A34"/>
          <w:sz w:val="30"/>
          <w:szCs w:val="30"/>
        </w:rPr>
        <w:t xml:space="preserve">6. Scope 1–3 Explanation — Our Metrics and Why</w:t>
      </w:r>
    </w:p>
    <w:p>
      <w:pPr>
        <w:spacing w:after="160" w:line="276"/>
      </w:pPr>
      <w:r>
        <w:rPr>
          <w:rFonts w:ascii="Calibri" w:cs="Calibri" w:eastAsia="Calibri" w:hAnsi="Calibri"/>
          <w:b w:val="false"/>
          <w:bCs w:val="false"/>
          <w:i w:val="false"/>
          <w:iCs w:val="false"/>
          <w:color w:val="1A1A1A"/>
          <w:sz w:val="21"/>
          <w:szCs w:val="21"/>
        </w:rPr>
        <w:t>EcoStruxure Value Advisor follows the GHG Protocol Corporate Standard's three-scope structure, the same framework referenced by SGX mandatory reporting, IFRS S2, and SBTi target-setting:</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3600"/>
        <w:gridCol w:w="3100"/>
      </w:tblGrid>
      <w:tr>
        <w:trPr>
          <w:tblHeader/>
        </w:trPr>
        <w:tc>
          <w:tcPr>
            <w:tcW w:type="dxa" w:w="1900"/>
            <w:shd w:fill="0F6B4C"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Scope</w:t>
            </w:r>
          </w:p>
        </w:tc>
        <w:tc>
          <w:tcPr>
            <w:tcW w:type="dxa" w:w="2900"/>
            <w:shd w:fill="0F6B4C"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Definition</w:t>
            </w:r>
          </w:p>
        </w:tc>
        <w:tc>
          <w:tcPr>
            <w:tcW w:type="dxa" w:w="3600"/>
            <w:shd w:fill="0F6B4C" w:val="clear"/>
            <w:tcMar>
              <w:top w:type="dxa" w:w="90"/>
              <w:left w:type="dxa" w:w="110"/>
              <w:bottom w:type="dxa" w:w="90"/>
              <w:right w:type="dxa" w:w="110"/>
            </w:tcMar>
            <w:vAlign w:val="center"/>
          </w:tcPr>
          <w:p>
            <w:r>
              <w:rPr>
                <w:rFonts w:ascii="Calibri" w:cs="Calibri" w:eastAsia="Calibri" w:hAnsi="Calibri"/>
                <w:b/>
                <w:bCs/>
                <w:color w:val="FFFFFF"/>
                <w:sz w:val="19"/>
                <w:szCs w:val="19"/>
              </w:rPr>
              <w:t>What EcoStruxure Value Advisor counts</w:t>
            </w:r>
          </w:p>
        </w:tc>
        <w:tc>
          <w:tcPr>
            <w:tcW w:type="dxa" w:w="3100"/>
            <w:shd w:fill="0F6B4C"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Method</w:t>
            </w:r>
          </w:p>
        </w:tc>
      </w:tr>
      <w:tr>
        <w:tc>
          <w:tcPr>
            <w:tcW w:type="dxa" w:w="19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Scope 1 — Direct</w:t>
            </w:r>
          </w:p>
        </w:tc>
        <w:tc>
          <w:tcPr>
            <w:tcW w:type="dxa" w:w="29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Emissions from sources the company owns or controls</w:t>
            </w:r>
          </w:p>
        </w:tc>
        <w:tc>
          <w:tcPr>
            <w:tcW w:type="dxa" w:w="36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Natural gas combustion; fleet + backup-generator diesel/petrol/CNG; refrigerant leakage (GWP-weighted)</w:t>
            </w:r>
          </w:p>
        </w:tc>
        <w:tc>
          <w:tcPr>
            <w:tcW w:type="dxa" w:w="31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Activity-based: metered/entered quantity × a sourced emission factor (NEA/SEFR, DESNZ/DEFRA, IPCC AR5)</w:t>
            </w:r>
          </w:p>
        </w:tc>
      </w:tr>
      <w:tr>
        <w:tc>
          <w:tcPr>
            <w:tcW w:type="dxa" w:w="19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Scope 2 — Indirect (energy)</w:t>
            </w:r>
          </w:p>
        </w:tc>
        <w:tc>
          <w:tcPr>
            <w:tcW w:type="dxa" w:w="29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Emissions from purchased electricity (and purchased cooling/steam for MNC)</w:t>
            </w:r>
          </w:p>
        </w:tc>
        <w:tc>
          <w:tcPr>
            <w:tcW w:type="dxa" w:w="36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Grid electricity net of any onsite solar generation, split into a market-based figure (zeroes any REC/PPA/green-tariff-covered share) and a location-based figure (physical grid mix only)</w:t>
            </w:r>
          </w:p>
        </w:tc>
        <w:tc>
          <w:tcPr>
            <w:tcW w:type="dxa" w:w="31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kWh × Singapore's Grid Emission Factor (0.402 kgCO₂/kWh, EMA 2024), with a declining-GEF assumption applied to 10-year projections</w:t>
            </w:r>
          </w:p>
        </w:tc>
      </w:tr>
      <w:tr>
        <w:tc>
          <w:tcPr>
            <w:tcW w:type="dxa" w:w="19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Scope 3 — Value chain</w:t>
            </w:r>
          </w:p>
        </w:tc>
        <w:tc>
          <w:tcPr>
            <w:tcW w:type="dxa" w:w="29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Emissions the company doesn't control but influences: its suppliers and its own downstream activity</w:t>
            </w:r>
          </w:p>
        </w:tc>
        <w:tc>
          <w:tcPr>
            <w:tcW w:type="dxa" w:w="36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Upstream/downstream freight, business travel, employee commuting, purchased goods — 6 priority GHG Protocol categories for MNC, a simplified subset for SME</w:t>
            </w:r>
          </w:p>
        </w:tc>
        <w:tc>
          <w:tcPr>
            <w:tcW w:type="dxa" w:w="31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Spend-based EEIO (US EPA v2.0) as the SME fallback; activity-based tonne-km/passenger-km (DEFRA/DESNZ) where volume data exists</w:t>
            </w:r>
          </w:p>
        </w:tc>
      </w:tr>
    </w:tbl>
    <w:p>
      <w:pPr>
        <w:spacing w:after="160"/>
      </w:pPr>
    </w:p>
    <w:p>
      <w:pPr>
        <w:pStyle w:val="Heading2"/>
        <w:spacing w:after="140" w:before="320"/>
      </w:pPr>
      <w:r>
        <w:rPr>
          <w:rFonts w:ascii="Calibri" w:cs="Calibri" w:eastAsia="Calibri" w:hAnsi="Calibri"/>
          <w:b/>
          <w:bCs/>
          <w:color w:val="0F6B4C"/>
          <w:sz w:val="24"/>
          <w:szCs w:val="24"/>
        </w:rPr>
        <w:t xml:space="preserve">6.1 Why Scope 3 is quantified but not monetised</w:t>
      </w:r>
    </w:p>
    <w:p>
      <w:pPr>
        <w:spacing w:after="160" w:line="276"/>
      </w:pPr>
      <w:r>
        <w:rPr>
          <w:rFonts w:ascii="Calibri" w:cs="Calibri" w:eastAsia="Calibri" w:hAnsi="Calibri"/>
          <w:b w:val="false"/>
          <w:bCs w:val="false"/>
          <w:i w:val="false"/>
          <w:iCs w:val="false"/>
          <w:color w:val="1A1A1A"/>
          <w:sz w:val="21"/>
          <w:szCs w:val="21"/>
        </w:rPr>
        <w:t>This was a deliberate, documented design decision, not an oversight. Schneider Electric does not directly control a client's Scope 3 emissions — upstream supplier production, downstream product use, employee commuting. Attaching a specific dollar-savings figure to a specific Schneider product for reducing Scope 3 would not survive scrutiny from a finance or procurement reviewer. EcoStruxure Value Advisor instead shows Scope 3 in tonnes CO₂e only, labelled explicitly as “identified for reporting and target-setting, not included in the financial savings calculation,” and points to EcoStruxure Resource Advisor as the tool for tracking and reporting it. The alternative — monetising Scope 3 — was considered and rejected for exactly this defensibility reason.</w:t>
      </w:r>
    </w:p>
    <w:p>
      <w:pPr>
        <w:pStyle w:val="Heading2"/>
        <w:spacing w:after="140" w:before="320"/>
      </w:pPr>
      <w:r>
        <w:rPr>
          <w:rFonts w:ascii="Calibri" w:cs="Calibri" w:eastAsia="Calibri" w:hAnsi="Calibri"/>
          <w:b/>
          <w:bCs/>
          <w:color w:val="0F6B4C"/>
          <w:sz w:val="24"/>
          <w:szCs w:val="24"/>
        </w:rPr>
        <w:t xml:space="preserve">6.2 The KPI dashboard — metrics and why each one is there</w:t>
      </w:r>
    </w:p>
    <w:p>
      <w:pPr>
        <w:spacing w:after="160" w:line="276"/>
      </w:pPr>
      <w:r>
        <w:rPr>
          <w:rFonts w:ascii="Calibri" w:cs="Calibri" w:eastAsia="Calibri" w:hAnsi="Calibri"/>
          <w:b w:val="false"/>
          <w:bCs w:val="false"/>
          <w:i w:val="false"/>
          <w:iCs w:val="false"/>
          <w:color w:val="1A1A1A"/>
          <w:sz w:val="21"/>
          <w:szCs w:val="21"/>
        </w:rPr>
        <w:t>Beyond the headline Scope 1–3 figures, EcoStruxure Value Advisor computes a set of intensity and exposure metrics. Each one earns its place either because it can be benchmarked against a real, sourced sector figure, or because it is directly traceable to a specific input — and where no credible published benchmark exists, the tool deliberately shows the company's own value without inventing a comparison band:</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2600"/>
        <w:gridCol w:w="5000"/>
      </w:tblGrid>
      <w:tr>
        <w:trPr>
          <w:tblHeader/>
        </w:trPr>
        <w:tc>
          <w:tcPr>
            <w:tcW w:type="dxa" w:w="2400"/>
            <w:shd w:fill="0F6B4C"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Metric</w:t>
            </w:r>
          </w:p>
        </w:tc>
        <w:tc>
          <w:tcPr>
            <w:tcW w:type="dxa" w:w="1500"/>
            <w:shd w:fill="0F6B4C"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Unit</w:t>
            </w:r>
          </w:p>
        </w:tc>
        <w:tc>
          <w:tcPr>
            <w:tcW w:type="dxa" w:w="2600"/>
            <w:shd w:fill="0F6B4C"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Benchmarked?</w:t>
            </w:r>
          </w:p>
        </w:tc>
        <w:tc>
          <w:tcPr>
            <w:tcW w:type="dxa" w:w="5000"/>
            <w:shd w:fill="0F6B4C"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Why it's included</w:t>
            </w:r>
          </w:p>
        </w:tc>
      </w:tr>
      <w:tr>
        <w:tc>
          <w:tcPr>
            <w:tcW w:type="dxa" w:w="24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Energy intensity</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kWh/m²/year</w:t>
            </w:r>
          </w:p>
        </w:tc>
        <w:tc>
          <w:tcPr>
            <w:tcW w:type="dxa" w:w="26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Yes — EMA / BCA Green Mark sector bands</w:t>
            </w:r>
          </w:p>
        </w:tc>
        <w:tc>
          <w:tcPr>
            <w:tcW w:type="dxa" w:w="50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The standard denominator for comparing buildings of different sizes; the primary lever for HVAC/lighting-focused ECMs.</w:t>
            </w:r>
          </w:p>
        </w:tc>
      </w:tr>
      <w:tr>
        <w:tc>
          <w:tcPr>
            <w:tcW w:type="dxa" w:w="24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Carbon intensity</w:t>
            </w:r>
          </w:p>
        </w:tc>
        <w:tc>
          <w:tcPr>
            <w:tcW w:type="dxa" w:w="15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tCO₂e/m²/year</w:t>
            </w:r>
          </w:p>
        </w:tc>
        <w:tc>
          <w:tcPr>
            <w:tcW w:type="dxa" w:w="26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Yes — derived from energy intensity × GEF</w:t>
            </w:r>
          </w:p>
        </w:tc>
        <w:tc>
          <w:tcPr>
            <w:tcW w:type="dxa" w:w="50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Converts the same intensity figure to carbon terms; moves in lockstep with energy intensity since it's derived from it.</w:t>
            </w:r>
          </w:p>
        </w:tc>
      </w:tr>
      <w:tr>
        <w:tc>
          <w:tcPr>
            <w:tcW w:type="dxa" w:w="24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Power Usage Effectiveness (PUE)</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ratio</w:t>
            </w:r>
          </w:p>
        </w:tc>
        <w:tc>
          <w:tcPr>
            <w:tcW w:type="dxa" w:w="26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Yes, Data Centre only — Singapore Green Data Centre Roadmap</w:t>
            </w:r>
          </w:p>
        </w:tc>
        <w:tc>
          <w:tcPr>
            <w:tcW w:type="dxa" w:w="50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The industry-standard data centre efficiency metric; only shown when a genuine IT-load figure is available (see Finding M5).</w:t>
            </w:r>
          </w:p>
        </w:tc>
      </w:tr>
      <w:tr>
        <w:tc>
          <w:tcPr>
            <w:tcW w:type="dxa" w:w="24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Carbon per employee</w:t>
            </w:r>
          </w:p>
        </w:tc>
        <w:tc>
          <w:tcPr>
            <w:tcW w:type="dxa" w:w="15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tCO₂e/person/year</w:t>
            </w:r>
          </w:p>
        </w:tc>
        <w:tc>
          <w:tcPr>
            <w:tcW w:type="dxa" w:w="26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No published sector benchmark</w:t>
            </w:r>
          </w:p>
        </w:tc>
        <w:tc>
          <w:tcPr>
            <w:tcW w:type="dxa" w:w="50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A genuinely useful “your value” figure for internal tracking and disclosure — shown honestly without a fabricated comparison.</w:t>
            </w:r>
          </w:p>
        </w:tc>
      </w:tr>
      <w:tr>
        <w:tc>
          <w:tcPr>
            <w:tcW w:type="dxa" w:w="24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Energy cost ratio</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 of revenue</w:t>
            </w:r>
          </w:p>
        </w:tc>
        <w:tc>
          <w:tcPr>
            <w:tcW w:type="dxa" w:w="26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No published sector benchmark</w:t>
            </w:r>
          </w:p>
        </w:tc>
        <w:tc>
          <w:tcPr>
            <w:tcW w:type="dxa" w:w="50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Puts the energy line item in a CFO-legible frame (share of revenue) without inventing an unsupported peer figure.</w:t>
            </w:r>
          </w:p>
        </w:tc>
      </w:tr>
      <w:tr>
        <w:tc>
          <w:tcPr>
            <w:tcW w:type="dxa" w:w="24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Carbon tax exposure</w:t>
            </w:r>
          </w:p>
        </w:tc>
        <w:tc>
          <w:tcPr>
            <w:tcW w:type="dxa" w:w="15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S$/year</w:t>
            </w:r>
          </w:p>
        </w:tc>
        <w:tc>
          <w:tcPr>
            <w:tcW w:type="dxa" w:w="26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N/A — direct calculation</w:t>
            </w:r>
          </w:p>
        </w:tc>
        <w:tc>
          <w:tcPr>
            <w:tcW w:type="dxa" w:w="50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The actual modelled NEA/IRAS bill at today's legislated rate, or S$0 with an explanation if the facility isn't a direct taxpayer.</w:t>
            </w:r>
          </w:p>
        </w:tc>
      </w:tr>
      <w:tr>
        <w:tc>
          <w:tcPr>
            <w:tcW w:type="dxa" w:w="24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Scope 3 ratio</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 of total footprint</w:t>
            </w:r>
          </w:p>
        </w:tc>
        <w:tc>
          <w:tcPr>
            <w:tcW w:type="dxa" w:w="26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No published sector benchmark</w:t>
            </w:r>
          </w:p>
        </w:tc>
        <w:tc>
          <w:tcPr>
            <w:tcW w:type="dxa" w:w="50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Surfaces how much of the full carbon picture sits outside the company's direct control — relevant to SBTi/CDP conversations.</w:t>
            </w:r>
          </w:p>
        </w:tc>
      </w:tr>
      <w:tr>
        <w:tc>
          <w:tcPr>
            <w:tcW w:type="dxa" w:w="24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Renewable coverage</w:t>
            </w:r>
          </w:p>
        </w:tc>
        <w:tc>
          <w:tcPr>
            <w:tcW w:type="dxa" w:w="15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 of electricity</w:t>
            </w:r>
          </w:p>
        </w:tc>
        <w:tc>
          <w:tcPr>
            <w:tcW w:type="dxa" w:w="26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N/A — direct input</w:t>
            </w:r>
          </w:p>
        </w:tc>
        <w:tc>
          <w:tcPr>
            <w:tcW w:type="dxa" w:w="50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Tracks the REC/PPA/green-tariff-covered share driving the market-based vs. location-based Scope 2 split.</w:t>
            </w:r>
          </w:p>
        </w:tc>
      </w:tr>
    </w:tbl>
    <w:p>
      <w:r>
        <w:br w:type="page"/>
      </w:r>
    </w:p>
    <w:p>
      <w:pPr>
        <w:pStyle w:val="Heading1"/>
        <w:pBdr>
          <w:bottom w:val="single" w:color="0F6B4C" w:sz="8" w:space="4"/>
        </w:pBdr>
        <w:spacing w:after="200" w:before="480"/>
      </w:pPr>
      <w:r>
        <w:rPr>
          <w:rFonts w:ascii="Calibri" w:cs="Calibri" w:eastAsia="Calibri" w:hAnsi="Calibri"/>
          <w:b/>
          <w:bCs/>
          <w:color w:val="0A4A34"/>
          <w:sz w:val="30"/>
          <w:szCs w:val="30"/>
        </w:rPr>
        <w:t xml:space="preserve">7. Demo — The Percentage Breakdown</w:t>
      </w:r>
    </w:p>
    <w:p>
      <w:pPr>
        <w:spacing w:after="160" w:line="276"/>
      </w:pPr>
      <w:r>
        <w:rPr>
          <w:rFonts w:ascii="Calibri" w:cs="Calibri" w:eastAsia="Calibri" w:hAnsi="Calibri"/>
          <w:b w:val="false"/>
          <w:bCs w:val="false"/>
          <w:i w:val="false"/>
          <w:iCs w:val="false"/>
          <w:color w:val="1A1A1A"/>
          <w:sz w:val="21"/>
          <w:szCs w:val="21"/>
        </w:rPr>
        <w:t>The core mechanic that makes EcoStruxure Value Advisor's savings figure defensible — rather than a single guessed percentage — is a bottom-up chain that starts from where a sector's electricity actually goes, and stacks named, sourced efficiency measures on top of that. This session's work made that chain fully explicit in the results view, in response to direct feedback that the previous display buried the percentage math and showed no dollar figure per measure.</w:t>
      </w:r>
    </w:p>
    <w:p>
      <w:pPr>
        <w:pStyle w:val="Heading2"/>
        <w:spacing w:after="140" w:before="320"/>
      </w:pPr>
      <w:r>
        <w:rPr>
          <w:rFonts w:ascii="Calibri" w:cs="Calibri" w:eastAsia="Calibri" w:hAnsi="Calibri"/>
          <w:b/>
          <w:bCs/>
          <w:color w:val="0F6B4C"/>
          <w:sz w:val="24"/>
          <w:szCs w:val="24"/>
        </w:rPr>
        <w:t xml:space="preserve">7.1 Where the group total comes from</w:t>
      </w:r>
    </w:p>
    <w:p>
      <w:pPr>
        <w:spacing w:after="160" w:line="276"/>
      </w:pPr>
      <w:r>
        <w:rPr>
          <w:rFonts w:ascii="Calibri" w:cs="Calibri" w:eastAsia="Calibri" w:hAnsi="Calibri"/>
          <w:b w:val="false"/>
          <w:bCs w:val="false"/>
          <w:i w:val="false"/>
          <w:iCs w:val="false"/>
          <w:color w:val="1A1A1A"/>
          <w:sz w:val="21"/>
          <w:szCs w:val="21"/>
        </w:rPr>
        <w:t xml:space="preserve">Every sector has a sourced, published energy end-use split — e.g. commercial offices split roughly two-thirds between HVAC/cooling and lighting, with plug loads as the fastest-growing remaining category (EIA CBECS); F&amp;B splits across cooking (~40–45%), HVAC (~28–40%), and refrigeration (~10–25%) (EIA, ENERGY STAR). The user can accept the sector default or override it with their own building's actual split — either way, the split is normalised to sum to exactly 100% before any measure is applied against it, so a sloppy manual entry never silently skews the result.</w:t>
      </w:r>
    </w:p>
    <w:p>
      <w:pPr>
        <w:pStyle w:val="Heading2"/>
        <w:spacing w:after="140" w:before="320"/>
      </w:pPr>
      <w:r>
        <w:rPr>
          <w:rFonts w:ascii="Calibri" w:cs="Calibri" w:eastAsia="Calibri" w:hAnsi="Calibri"/>
          <w:b/>
          <w:bCs/>
          <w:color w:val="0F6B4C"/>
          <w:sz w:val="24"/>
          <w:szCs w:val="24"/>
        </w:rPr>
        <w:t xml:space="preserve">7.2 Worked example — chiller plant optimisation in a commercial office</w:t>
      </w:r>
    </w:p>
    <w:p>
      <w:pPr>
        <w:spacing w:after="160" w:line="276"/>
      </w:pPr>
      <w:r>
        <w:rPr>
          <w:rFonts w:ascii="Calibri" w:cs="Calibri" w:eastAsia="Calibri" w:hAnsi="Calibri"/>
          <w:b w:val="false"/>
          <w:bCs w:val="false"/>
          <w:i w:val="false"/>
          <w:iCs w:val="false"/>
          <w:color w:val="1A1A1A"/>
          <w:sz w:val="21"/>
          <w:szCs w:val="21"/>
        </w:rPr>
        <w:t xml:space="preserve">Take an Office/Professional Services building using 500,000 kWh/year at Q3 2026's tariff (S$0.3191/kWh) and applying “Chiller plant optimisation (sequencing, condenser water reset)” — the calculator now shows this exact four-step chain for every measure, not just the top pick:</w:t>
      </w:r>
    </w:p>
    <w:tbl>
      <w:tblPr>
        <w:tblW w:type="dxa" w:w="12500"/>
        <w:tblBorders>
          <w:top w:val="single" w:color="auto" w:sz="4"/>
          <w:left w:val="single" w:color="auto" w:sz="4"/>
          <w:bottom w:val="single" w:color="auto" w:sz="4"/>
          <w:right w:val="single" w:color="auto" w:sz="4"/>
          <w:insideH w:val="single" w:color="auto" w:sz="4"/>
          <w:insideV w:val="single" w:color="auto" w:sz="4"/>
        </w:tblBorders>
      </w:tblPr>
      <w:tblGrid>
        <w:gridCol w:w="2400"/>
        <w:gridCol w:w="6200"/>
        <w:gridCol w:w="3900"/>
      </w:tblGrid>
      <w:tr>
        <w:trPr>
          <w:tblHeader/>
        </w:trPr>
        <w:tc>
          <w:tcPr>
            <w:tcW w:type="dxa" w:w="2400"/>
            <w:shd w:fill="0F6B4C"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Step</w:t>
            </w:r>
          </w:p>
        </w:tc>
        <w:tc>
          <w:tcPr>
            <w:tcW w:type="dxa" w:w="6200"/>
            <w:shd w:fill="0F6B4C"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Calculation</w:t>
            </w:r>
          </w:p>
        </w:tc>
        <w:tc>
          <w:tcPr>
            <w:tcW w:type="dxa" w:w="3900"/>
            <w:shd w:fill="0F6B4C"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Result</w:t>
            </w:r>
          </w:p>
        </w:tc>
      </w:tr>
      <w:tr>
        <w:tc>
          <w:tcPr>
            <w:tcW w:type="dxa" w:w="24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1. End-use share</w:t>
            </w:r>
          </w:p>
        </w:tc>
        <w:tc>
          <w:tcPr>
            <w:tcW w:type="dxa" w:w="62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HVAC is ~45% of this building's electricity (sector default, editable)</w:t>
            </w:r>
          </w:p>
        </w:tc>
        <w:tc>
          <w:tcPr>
            <w:tcW w:type="dxa" w:w="39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225,000 kWh/yr is HVAC energy</w:t>
            </w:r>
          </w:p>
        </w:tc>
      </w:tr>
      <w:tr>
        <w:tc>
          <w:tcPr>
            <w:tcW w:type="dxa" w:w="24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2. Measure's saving on that end-use</w:t>
            </w:r>
          </w:p>
        </w:tc>
        <w:tc>
          <w:tcPr>
            <w:tcW w:type="dxa" w:w="62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Chiller sequencing + condenser water reset saves 8–15% of HVAC energy (ASHRAE Guideline 36 / US DOE; mid 11.5%)</w:t>
            </w:r>
          </w:p>
        </w:tc>
        <w:tc>
          <w:tcPr>
            <w:tcW w:type="dxa" w:w="39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225,000 × 11.5% ≈ 25,875 kWh/yr saved</w:t>
            </w:r>
          </w:p>
        </w:tc>
      </w:tr>
      <w:tr>
        <w:tc>
          <w:tcPr>
            <w:tcW w:type="dxa" w:w="24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3. Share of total electricity</w:t>
            </w:r>
          </w:p>
        </w:tc>
        <w:tc>
          <w:tcPr>
            <w:tcW w:type="dxa" w:w="62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25,875 ÷ 500,000</w:t>
            </w:r>
          </w:p>
        </w:tc>
        <w:tc>
          <w:tcPr>
            <w:tcW w:type="dxa" w:w="3900"/>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 5.2 percentage points of total Scope 2 electricity</w:t>
            </w:r>
          </w:p>
        </w:tc>
      </w:tr>
      <w:tr>
        <w:tc>
          <w:tcPr>
            <w:tcW w:type="dxa" w:w="24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4. Dollar value</w:t>
            </w:r>
          </w:p>
        </w:tc>
        <w:tc>
          <w:tcPr>
            <w:tcW w:type="dxa" w:w="62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25,875 kWh × S$0.3191/kWh</w:t>
            </w:r>
          </w:p>
        </w:tc>
        <w:tc>
          <w:tcPr>
            <w:tcW w:type="dxa" w:w="3900"/>
            <w:shd w:fill="F2F5F1" w:val="clear"/>
            <w:tcMar>
              <w:top w:type="dxa" w:w="90"/>
              <w:left w:type="dxa" w:w="110"/>
              <w:bottom w:type="dxa" w:w="90"/>
              <w:right w:type="dxa" w:w="110"/>
            </w:tcMar>
            <w:vAlign w:val="center"/>
          </w:tcPr>
          <w:p>
            <w:r>
              <w:rPr>
                <w:rFonts w:ascii="Calibri" w:cs="Calibri" w:eastAsia="Calibri" w:hAnsi="Calibri"/>
                <w:b w:val="false"/>
                <w:bCs w:val="false"/>
                <w:color w:val="1A1A1A"/>
                <w:sz w:val="19"/>
                <w:szCs w:val="19"/>
              </w:rPr>
              <w:t xml:space="preserve">≈ S$8,255/year (≈ S$688/month)</w:t>
            </w:r>
          </w:p>
        </w:tc>
      </w:tr>
    </w:tbl>
    <w:p>
      <w:pPr>
        <w:spacing w:after="160"/>
      </w:pPr>
    </w:p>
    <w:p>
      <w:pPr>
        <w:spacing w:after="160" w:line="276"/>
      </w:pPr>
      <w:r>
        <w:rPr>
          <w:rFonts w:ascii="Calibri" w:cs="Calibri" w:eastAsia="Calibri" w:hAnsi="Calibri"/>
          <w:b w:val="false"/>
          <w:bCs w:val="false"/>
          <w:i w:val="false"/>
          <w:iCs w:val="false"/>
          <w:color w:val="1A1A1A"/>
          <w:sz w:val="21"/>
          <w:szCs w:val="21"/>
        </w:rPr>
        <w:t xml:space="preserve">Every measure a company selects (or hasn't yet implemented) runs through this same four-step chain, and multiple measures within the same end-use combine multiplicatively — 1 − Π(1 − savingᵢ) — so a company stacking three HVAC measures can never be shown claiming more than 100% of its own HVAC energy. Across end-uses, each end-use's reduction is weighted by its own share of total electricity, and a low/mid/high range is carried through the entire chain rather than collapsing to a single number, so the confidence interval shown to the user is real and sourced, not decorative.</w:t>
      </w:r>
    </w:p>
    <w:p>
      <w:pPr>
        <w:pStyle w:val="Heading2"/>
        <w:spacing w:after="140" w:before="320"/>
      </w:pPr>
      <w:r>
        <w:rPr>
          <w:rFonts w:ascii="Calibri" w:cs="Calibri" w:eastAsia="Calibri" w:hAnsi="Calibri"/>
          <w:b/>
          <w:bCs/>
          <w:color w:val="0F6B4C"/>
          <w:sz w:val="24"/>
          <w:szCs w:val="24"/>
        </w:rPr>
        <w:t xml:space="preserve">7.3 Why this works better than a single blended percentage</w:t>
      </w:r>
    </w:p>
    <w:p>
      <w:pPr>
        <w:pStyle w:val="ListParagraph"/>
        <w:numPr>
          <w:ilvl w:val="0"/>
          <w:numId w:val="2"/>
        </w:numPr>
        <w:spacing w:after="90" w:line="264"/>
      </w:pPr>
      <w:r>
        <w:rPr>
          <w:rFonts w:ascii="Calibri" w:cs="Calibri" w:eastAsia="Calibri" w:hAnsi="Calibri"/>
          <w:color w:val="1A1A1A"/>
          <w:sz w:val="21"/>
          <w:szCs w:val="21"/>
        </w:rPr>
        <w:t xml:space="preserve">Traceability — every figure decomposes into named, cited steps (ASHRAE / US DOE / ENERGY STAR ranges, see /data/ecm_catalog.json), so a finance reviewer can check the arithmetic rather than trusting a black box.</w:t>
      </w:r>
    </w:p>
    <w:p>
      <w:pPr>
        <w:pStyle w:val="ListParagraph"/>
        <w:numPr>
          <w:ilvl w:val="0"/>
          <w:numId w:val="2"/>
        </w:numPr>
        <w:spacing w:after="90" w:line="264"/>
      </w:pPr>
      <w:r>
        <w:rPr>
          <w:rFonts w:ascii="Calibri" w:cs="Calibri" w:eastAsia="Calibri" w:hAnsi="Calibri"/>
          <w:color w:val="1A1A1A"/>
          <w:sz w:val="21"/>
          <w:szCs w:val="21"/>
        </w:rPr>
        <w:t>It responds to what the company already has — measures the company reports as already implemented or in progress are excluded from the “further opportunity” set and credited separately, so EcoStruxure Value Advisor never recommends re-buying something already in place.</w:t>
      </w:r>
    </w:p>
    <w:p>
      <w:pPr>
        <w:pStyle w:val="ListParagraph"/>
        <w:numPr>
          <w:ilvl w:val="0"/>
          <w:numId w:val="2"/>
        </w:numPr>
        <w:spacing w:after="90" w:line="264"/>
      </w:pPr>
      <w:r>
        <w:rPr>
          <w:rFonts w:ascii="Calibri" w:cs="Calibri" w:eastAsia="Calibri" w:hAnsi="Calibri"/>
          <w:color w:val="1A1A1A"/>
          <w:sz w:val="21"/>
          <w:szCs w:val="21"/>
        </w:rPr>
        <w:t xml:space="preserve">It ranks by actual return — remaining measures are ranked by payback (cost ÷ verified annual $ saved), directing attention to chiller-plant and HVAC measures before lighting in a Singapore commercial building, matching how the energy actually breaks down rather than defaulting to whichever measure is most visible.</w:t>
      </w:r>
    </w:p>
    <w:p>
      <w:pPr>
        <w:pStyle w:val="ListParagraph"/>
        <w:numPr>
          <w:ilvl w:val="0"/>
          <w:numId w:val="2"/>
        </w:numPr>
        <w:spacing w:after="90" w:line="264"/>
      </w:pPr>
      <w:r>
        <w:rPr>
          <w:rFonts w:ascii="Calibri" w:cs="Calibri" w:eastAsia="Calibri" w:hAnsi="Calibri"/>
          <w:color w:val="1A1A1A"/>
          <w:sz w:val="21"/>
          <w:szCs w:val="21"/>
        </w:rPr>
        <w:t xml:space="preserve">It stays honest about certainty — hardware/capital measures (LED retrofit, chiller replacement) are tagged “high” certainty; controls/behavioural measures (BMS scheduling) are tagged “variable,” reflecting the field feedback in Section 4.3 that these savings depend on ongoing tuning.</w:t>
      </w:r>
    </w:p>
    <w:p>
      <w:pPr>
        <w:pStyle w:val="Heading2"/>
        <w:spacing w:after="140" w:before="320"/>
      </w:pPr>
      <w:r>
        <w:rPr>
          <w:rFonts w:ascii="Calibri" w:cs="Calibri" w:eastAsia="Calibri" w:hAnsi="Calibri"/>
          <w:b/>
          <w:bCs/>
          <w:color w:val="0F6B4C"/>
          <w:sz w:val="24"/>
          <w:szCs w:val="24"/>
        </w:rPr>
        <w:t xml:space="preserve">7.4 AI-assisted matching, improved this session</w:t>
      </w:r>
    </w:p>
    <w:p>
      <w:pPr>
        <w:spacing w:after="160" w:line="276"/>
      </w:pPr>
      <w:r>
        <w:rPr>
          <w:rFonts w:ascii="Calibri" w:cs="Calibri" w:eastAsia="Calibri" w:hAnsi="Calibri"/>
          <w:b w:val="false"/>
          <w:bCs w:val="false"/>
          <w:i w:val="false"/>
          <w:iCs w:val="false"/>
          <w:color w:val="1A1A1A"/>
          <w:sz w:val="21"/>
          <w:szCs w:val="21"/>
        </w:rPr>
        <w:t xml:space="preserve">A free-text field lets a company describe measures already in place in their own words; an AI matching step checks that text against the sector's ECM catalog so the company isn't asked to re-tick a structured checklist for something they've already described. Testing surfaced that generic terms — “hvac”, “chiller” — were returning no match at all, because the matching prompt required the text to describe the specific mechanism (e.g. “scheduling” or “sequencing”), not just name the equipment. The matching logic was rebalanced this session to surface any plausible keyword- or equipment-level connection at a clearly labelled “low confidence,” so the company's own judgement — not the AI's certainty threshold — decides whether it actually applies; nothing is ever auto-applied without an explicit click.</w:t>
      </w:r>
    </w:p>
    <w:p>
      <w:r>
        <w:br w:type="page"/>
      </w:r>
    </w:p>
    <w:p>
      <w:pPr>
        <w:pStyle w:val="Heading2"/>
        <w:spacing w:after="140" w:before="320"/>
      </w:pPr>
      <w:r>
        <w:rPr>
          <w:rFonts w:ascii="Calibri" w:cs="Calibri" w:eastAsia="Calibri" w:hAnsi="Calibri"/>
          <w:b/>
          <w:bCs/>
          <w:color w:val="0F6B4C"/>
          <w:sz w:val="24"/>
          <w:szCs w:val="24"/>
        </w:rPr>
        <w:t>7.5 Applied to the Judges' Own Organisations</w:t>
      </w:r>
    </w:p>
    <w:p>
      <w:pPr>
        <w:spacing w:after="160" w:line="276"/>
      </w:pPr>
      <w:r>
        <w:rPr>
          <w:rFonts w:ascii="Calibri" w:cs="Calibri" w:eastAsia="Calibri" w:hAnsi="Calibri"/>
          <w:b w:val="false"/>
          <w:bCs w:val="false"/>
          <w:i w:val="false"/>
          <w:iCs w:val="false"/>
          <w:color w:val="1A1A1A"/>
          <w:sz w:val="21"/>
          <w:szCs w:val="21"/>
        </w:rPr>
        <w:t>The most direct way to demonstrate this tool is to apply it to the reader's own organisation, not a synthetic example. Using only public information — company press coverage, commercial property records, and BCA Green Mark certifications — the calculator's own engine was run, unmodified, against researched Singapore HQ profiles for Thales (Ayer Rajah Crescent, Manufacturing/MRO), Monee (Sea Ltd's digital financial services arm, Rochester Commons), and Garena (Sea Ltd's digital entertainment arm, Galaxis) — producing three full illustration reports. Each one leads with an executive summary; discloses every assumption explicitly, including a dedicated Scope 1, 2 &amp; 3 estimates table before any result is shown; names every measure behind its saving-rate percentage rather than citing an unlabelled figure; and closes with a dedicated Limitations section, including an explicit reconciliation note covering the one place these reports' own numbers don't sum arithmetically — individual measures' $/year figures are each computed independently, while the headline rate applies the calculator's proper diminishing-returns combination across measures sharing a building area, so the two are expected to differ and both are labelled accordingly. These reports are included alongside this one.</w:t>
      </w:r>
    </w:p>
    <w:p>
      <w:pPr>
        <w:pStyle w:val="Heading1"/>
        <w:pBdr>
          <w:bottom w:val="single" w:color="0F6B4C" w:sz="8" w:space="4"/>
        </w:pBdr>
        <w:spacing w:after="200" w:before="480"/>
      </w:pPr>
      <w:r>
        <w:rPr>
          <w:rFonts w:ascii="Calibri" w:cs="Calibri" w:eastAsia="Calibri" w:hAnsi="Calibri"/>
          <w:b/>
          <w:bCs/>
          <w:color w:val="0A4A34"/>
          <w:sz w:val="30"/>
          <w:szCs w:val="30"/>
        </w:rPr>
        <w:t xml:space="preserve">8. Expansion Opportunities</w:t>
      </w:r>
    </w:p>
    <w:p>
      <w:pPr>
        <w:pStyle w:val="Heading2"/>
        <w:spacing w:after="140" w:before="320"/>
      </w:pPr>
      <w:r>
        <w:rPr>
          <w:rFonts w:ascii="Calibri" w:cs="Calibri" w:eastAsia="Calibri" w:hAnsi="Calibri"/>
          <w:b/>
          <w:bCs/>
          <w:color w:val="0F6B4C"/>
          <w:sz w:val="24"/>
          <w:szCs w:val="24"/>
        </w:rPr>
        <w:t xml:space="preserve">8.1 Extending sector and measure coverage</w:t>
      </w:r>
    </w:p>
    <w:p>
      <w:pPr>
        <w:spacing w:after="160" w:line="276"/>
      </w:pPr>
      <w:r>
        <w:rPr>
          <w:rFonts w:ascii="Calibri" w:cs="Calibri" w:eastAsia="Calibri" w:hAnsi="Calibri"/>
          <w:b w:val="false"/>
          <w:bCs w:val="false"/>
          <w:i w:val="false"/>
          <w:iCs w:val="false"/>
          <w:color w:val="1A1A1A"/>
          <w:sz w:val="21"/>
          <w:szCs w:val="21"/>
        </w:rPr>
        <w:t>The ECM catalog is already tagged by sector and can be extended without any architecture change — each measure is a single entry with an end-use link, a sourced saving range, a cost tier, and an optional linked Schneider product. Two catalog gaps identified in an earlier review of this project have since been closed:</w:t>
      </w:r>
    </w:p>
    <w:p>
      <w:pPr>
        <w:pStyle w:val="ListParagraph"/>
        <w:numPr>
          <w:ilvl w:val="0"/>
          <w:numId w:val="2"/>
        </w:numPr>
        <w:spacing w:after="90" w:line="264"/>
      </w:pPr>
      <w:r>
        <w:rPr>
          <w:rFonts w:ascii="Calibri" w:cs="Calibri" w:eastAsia="Calibri" w:hAnsi="Calibri"/>
          <w:color w:val="1A1A1A"/>
          <w:sz w:val="21"/>
          <w:szCs w:val="21"/>
        </w:rPr>
        <w:t>Solar generation, RECs, and Energy Attribute Certificates (EACs) — clarified as already modelled via dedicated Scope 2 fields (onsite solar generation, renewable coverage %, green-tariff premium), not a missing ECM category. An AI-matcher redirect was added so a free-text mention of “solar”, “REC”, “PPA”, or “EAC” now points the user to those existing fields instead of returning no match.</w:t>
      </w:r>
    </w:p>
    <w:p>
      <w:pPr>
        <w:pStyle w:val="ListParagraph"/>
        <w:numPr>
          <w:ilvl w:val="0"/>
          <w:numId w:val="2"/>
        </w:numPr>
        <w:spacing w:after="90" w:line="264"/>
      </w:pPr>
      <w:r>
        <w:rPr>
          <w:rFonts w:ascii="Calibri" w:cs="Calibri" w:eastAsia="Calibri" w:hAnsi="Calibri"/>
          <w:color w:val="1A1A1A"/>
          <w:sz w:val="21"/>
          <w:szCs w:val="21"/>
        </w:rPr>
        <w:t>Refrigerant leak detection &amp; repair, and low-GWP refrigerant transition (ammonia/CO₂ systems) — added to the catalog this build cycle, alongside a high-efficiency EC/DC fan motor retrofit measure and a plant-room ventilation &amp; exhaust upgrade measure, each sourced and cost-tiered like every other catalog entry.</w:t>
      </w:r>
    </w:p>
    <w:p>
      <w:pPr>
        <w:pStyle w:val="ListParagraph"/>
        <w:numPr>
          <w:ilvl w:val="0"/>
          <w:numId w:val="2"/>
        </w:numPr>
        <w:spacing w:after="90" w:line="264"/>
      </w:pPr>
      <w:r>
        <w:rPr>
          <w:rFonts w:ascii="Calibri" w:cs="Calibri" w:eastAsia="Calibri" w:hAnsi="Calibri"/>
          <w:color w:val="1A1A1A"/>
          <w:sz w:val="21"/>
          <w:szCs w:val="21"/>
        </w:rPr>
        <w:t xml:space="preserve">Further sector sub-profiles beyond the existing Retail “supermarket” and Logistics “coldStorage” variants (Finding M2) — e.g. splitting general-merchandise retail from F&amp;B-anchored retail, or splitting light manufacturing from process-heavy manufacturing.</w:t>
      </w:r>
    </w:p>
    <w:p>
      <w:pPr>
        <w:pStyle w:val="Heading2"/>
        <w:spacing w:after="140" w:before="320"/>
      </w:pPr>
      <w:r>
        <w:rPr>
          <w:rFonts w:ascii="Calibri" w:cs="Calibri" w:eastAsia="Calibri" w:hAnsi="Calibri"/>
          <w:b/>
          <w:bCs/>
          <w:color w:val="0F6B4C"/>
          <w:sz w:val="24"/>
          <w:szCs w:val="24"/>
        </w:rPr>
        <w:t>8.2 Geographic scope — deliberately Singapore-only</w:t>
      </w:r>
    </w:p>
    <w:p>
      <w:pPr>
        <w:spacing w:after="160" w:line="276"/>
      </w:pPr>
      <w:r>
        <w:rPr>
          <w:rFonts w:ascii="Calibri" w:cs="Calibri" w:eastAsia="Calibri" w:hAnsi="Calibri"/>
          <w:b w:val="false"/>
          <w:bCs w:val="false"/>
          <w:i w:val="false"/>
          <w:iCs w:val="false"/>
          <w:color w:val="1A1A1A"/>
          <w:sz w:val="21"/>
          <w:szCs w:val="21"/>
        </w:rPr>
        <w:t>MNC Mode intentionally applies Singapore's own regulatory and market data — EMA's Grid Emission Factor, SP Group's tariff, and NEA's carbon tax schedule — to every site, rather than approximating other ASEAN markets with unsourced proxy data. Where a Singapore-specific figure doesn't exist for a given factor (e.g. CNG pricing, natural gas combustion, or a DEFRA Scope 3 category), the tool falls back to a sourced US/UK reference figure and flags it as a proxy — the same pattern already used throughout the tool — rather than extending to other ASEAN countries' own regulatory regimes. An ASEAN-5 grid-factor table was researched and scoped during this build cycle, then explicitly set aside: this tool's target market is Singapore commercial-building operators, and adding partial, lower-confidence multi-country support would dilute that focus rather than strengthen it.</w:t>
      </w:r>
    </w:p>
    <w:p>
      <w:pPr>
        <w:pStyle w:val="Heading2"/>
        <w:spacing w:after="140" w:before="320"/>
      </w:pPr>
      <w:r>
        <w:rPr>
          <w:rFonts w:ascii="Calibri" w:cs="Calibri" w:eastAsia="Calibri" w:hAnsi="Calibri"/>
          <w:b/>
          <w:bCs/>
          <w:color w:val="0F6B4C"/>
          <w:sz w:val="24"/>
          <w:szCs w:val="24"/>
        </w:rPr>
        <w:t xml:space="preserve">8.3 Deepening Scope 3</w:t>
      </w:r>
    </w:p>
    <w:p>
      <w:pPr>
        <w:spacing w:after="160" w:line="276"/>
      </w:pPr>
      <w:r>
        <w:rPr>
          <w:rFonts w:ascii="Calibri" w:cs="Calibri" w:eastAsia="Calibri" w:hAnsi="Calibri"/>
          <w:b w:val="false"/>
          <w:bCs w:val="false"/>
          <w:i w:val="false"/>
          <w:iCs w:val="false"/>
          <w:color w:val="1A1A1A"/>
          <w:sz w:val="21"/>
          <w:szCs w:val="21"/>
        </w:rPr>
        <w:t xml:space="preserve">The current spend-based EEIO approach (Section 6.1) is the right default for a company with no supplier-level data, but it is explicitly a fallback. As supplier-specific activity data becomes available — via CSV upload of supplier-reported tCO₂e, or direct integration with a client's procurement system — Scope 3 categories can move from spend-based to activity-based, tightening the accuracy band from the current ±40–50% (spend-based) down toward the ±10–25% seen for metered Scope 1/2 data. Full monetisation of Scope 3 remains a deliberate non-goal (Section 6.1) unless a specific category (e.g. logistics) is one Schneider Electric's own products directly influence.</w:t>
      </w:r>
    </w:p>
    <w:p>
      <w:pPr>
        <w:pStyle w:val="Heading2"/>
        <w:spacing w:after="140" w:before="320"/>
      </w:pPr>
      <w:r>
        <w:rPr>
          <w:rFonts w:ascii="Calibri" w:cs="Calibri" w:eastAsia="Calibri" w:hAnsi="Calibri"/>
          <w:b/>
          <w:bCs/>
          <w:color w:val="0F6B4C"/>
          <w:sz w:val="24"/>
          <w:szCs w:val="24"/>
        </w:rPr>
        <w:t xml:space="preserve">8.4 Feature roadmap already identified</w:t>
      </w:r>
    </w:p>
    <w:p>
      <w:pPr>
        <w:spacing w:after="160" w:line="276"/>
      </w:pPr>
      <w:r>
        <w:rPr>
          <w:rFonts w:ascii="Calibri" w:cs="Calibri" w:eastAsia="Calibri" w:hAnsi="Calibri"/>
          <w:b w:val="false"/>
          <w:bCs w:val="false"/>
          <w:i w:val="false"/>
          <w:iCs w:val="false"/>
          <w:color w:val="1A1A1A"/>
          <w:sz w:val="21"/>
          <w:szCs w:val="21"/>
        </w:rPr>
        <w:t>Some features that existed as scaffolding earlier in this project have since been completed; one was deliberately descoped:</w:t>
      </w:r>
    </w:p>
    <w:p>
      <w:pPr>
        <w:pStyle w:val="ListParagraph"/>
        <w:numPr>
          <w:ilvl w:val="0"/>
          <w:numId w:val="2"/>
        </w:numPr>
        <w:spacing w:after="90" w:line="264"/>
      </w:pPr>
      <w:r>
        <w:rPr>
          <w:rFonts w:ascii="Calibri" w:cs="Calibri" w:eastAsia="Calibri" w:hAnsi="Calibri"/>
          <w:color w:val="1A1A1A"/>
          <w:sz w:val="21"/>
          <w:szCs w:val="21"/>
        </w:rPr>
        <w:t>PDF export — complete and live, wired to the results page's “Download Illustration PDF” button. Validated during this build cycle by generating three full Singapore HQ illustration reports — covering Scope 1–3 footprint, the full ECM breakdown, benchmark position, assumptions, and a dedicated limitations section — directly from the calculator's own engine output for three named Singapore operators (Section 7.5).</w:t>
      </w:r>
    </w:p>
    <w:p>
      <w:pPr>
        <w:pStyle w:val="ListParagraph"/>
        <w:numPr>
          <w:ilvl w:val="0"/>
          <w:numId w:val="2"/>
        </w:numPr>
        <w:spacing w:after="90" w:line="264"/>
      </w:pPr>
      <w:r>
        <w:rPr>
          <w:rFonts w:ascii="Calibri" w:cs="Calibri" w:eastAsia="Calibri" w:hAnsi="Calibri"/>
          <w:color w:val="1A1A1A"/>
          <w:sz w:val="21"/>
          <w:szCs w:val="21"/>
        </w:rPr>
        <w:t xml:space="preserve">Bill OCR / document upload — removes the single biggest SME friction point (not knowing their own kWh figure); the API route exists pending a live model key.</w:t>
      </w:r>
    </w:p>
    <w:p>
      <w:pPr>
        <w:pStyle w:val="ListParagraph"/>
        <w:numPr>
          <w:ilvl w:val="0"/>
          <w:numId w:val="2"/>
        </w:numPr>
        <w:spacing w:after="90" w:line="264"/>
      </w:pPr>
      <w:r>
        <w:rPr>
          <w:rFonts w:ascii="Calibri" w:cs="Calibri" w:eastAsia="Calibri" w:hAnsi="Calibri"/>
          <w:color w:val="1A1A1A"/>
          <w:sz w:val="21"/>
          <w:szCs w:val="21"/>
        </w:rPr>
        <w:t xml:space="preserve">SBTi target-gap scoring — a company that ticks “SBTi committed” currently gets no additional output computed against that commitment.</w:t>
      </w:r>
    </w:p>
    <w:p>
      <w:pPr>
        <w:pStyle w:val="Heading2"/>
        <w:spacing w:after="140" w:before="320"/>
      </w:pPr>
      <w:r>
        <w:rPr>
          <w:rFonts w:ascii="Calibri" w:cs="Calibri" w:eastAsia="Calibri" w:hAnsi="Calibri"/>
          <w:b/>
          <w:bCs/>
          <w:color w:val="0F6B4C"/>
          <w:sz w:val="24"/>
          <w:szCs w:val="24"/>
        </w:rPr>
        <w:t xml:space="preserve">8.5 Applying this to other sectors and audiences</w:t>
      </w:r>
    </w:p>
    <w:p>
      <w:pPr>
        <w:spacing w:after="160" w:line="276"/>
      </w:pPr>
      <w:r>
        <w:rPr>
          <w:rFonts w:ascii="Calibri" w:cs="Calibri" w:eastAsia="Calibri" w:hAnsi="Calibri"/>
          <w:b w:val="false"/>
          <w:bCs w:val="false"/>
          <w:i w:val="false"/>
          <w:iCs w:val="false"/>
          <w:color w:val="1A1A1A"/>
          <w:sz w:val="21"/>
          <w:szCs w:val="21"/>
        </w:rPr>
        <w:t xml:space="preserve">The underlying architecture — sector-tagged ECM catalog, end-use-weighted bottom-up savings, sourced KPI benchmarking — is not specific to Singapore or to commercial buildings; it requires only a new /data/*.json set (grid factor, tariff, carbon price schedule, sector end-use split, and sector-tagged ECMs) per new market or sector to extend. The same model applies directly to industrial/manufacturing decarbonisation (already partially covered via the Manufacturing sector's process-heat and compressed-air measures) or to a different country's carbon-pricing regime by swapping data/carbon_tax_schedule.json alone.</w:t>
      </w:r>
    </w:p>
    <w:p>
      <w:r>
        <w:br w:type="page"/>
      </w:r>
    </w:p>
    <w:p>
      <w:pPr>
        <w:pStyle w:val="Heading1"/>
        <w:pBdr>
          <w:bottom w:val="single" w:color="0F6B4C" w:sz="8" w:space="4"/>
        </w:pBdr>
        <w:spacing w:after="200" w:before="480"/>
      </w:pPr>
      <w:r>
        <w:rPr>
          <w:rFonts w:ascii="Calibri" w:cs="Calibri" w:eastAsia="Calibri" w:hAnsi="Calibri"/>
          <w:b/>
          <w:bCs/>
          <w:color w:val="0A4A34"/>
          <w:sz w:val="30"/>
          <w:szCs w:val="30"/>
        </w:rPr>
        <w:t xml:space="preserve">9. Wrap-Up</w:t>
      </w:r>
    </w:p>
    <w:p>
      <w:pPr>
        <w:spacing w:after="160" w:line="276"/>
      </w:pPr>
      <w:r>
        <w:rPr>
          <w:rFonts w:ascii="Calibri" w:cs="Calibri" w:eastAsia="Calibri" w:hAnsi="Calibri"/>
          <w:b w:val="false"/>
          <w:bCs w:val="false"/>
          <w:i w:val="false"/>
          <w:iCs w:val="false"/>
          <w:color w:val="1A1A1A"/>
          <w:sz w:val="21"/>
          <w:szCs w:val="21"/>
        </w:rPr>
        <w:t>EcoStruxure Value Advisor closes a specific, well-evidenced gap: the distance between “we know energy efficiency and decarbonisation matter” and “here is the exact dollar case, tied to a specific, sourced action, that a CFO can approve this quarter.” It does this by replacing a single guessed savings percentage with a bottom-up, traceable chain from a sector's actual energy end-use profile through a catalog of named, sourced Energy Conservation Measures to a dollar figure — and by pairing that with the legislated cost of inaction as Singapore's carbon tax escalates from S$25 to S$45/tCO₂e and beyond.</w:t>
      </w:r>
    </w:p>
    <w:p>
      <w:pPr>
        <w:spacing w:after="160" w:line="276"/>
      </w:pPr>
      <w:r>
        <w:rPr>
          <w:rFonts w:ascii="Calibri" w:cs="Calibri" w:eastAsia="Calibri" w:hAnsi="Calibri"/>
          <w:b w:val="false"/>
          <w:bCs w:val="false"/>
          <w:i w:val="false"/>
          <w:iCs w:val="false"/>
          <w:color w:val="1A1A1A"/>
          <w:sz w:val="21"/>
          <w:szCs w:val="21"/>
        </w:rPr>
        <w:t xml:space="preserve">Every number in the tool is sourced and versioned (Section 4.5, References below); every design decision that could be read as a shortcut — how Scope 3 is treated, how confidence ranges are built, how already-implemented measures are excluded — is a deliberate, documented choice made for defensibility, not an oversight. The nine usability findings in Section 4.1, the stakeholder input in Section 4.2, and the field feedback in Section 4.3 are evidence that this defensibility was tested against real use, not assumed.</w:t>
      </w:r>
    </w:p>
    <w:p>
      <w:pPr>
        <w:spacing w:after="160" w:line="276"/>
      </w:pPr>
      <w:r>
        <w:rPr>
          <w:rFonts w:ascii="Calibri" w:cs="Calibri" w:eastAsia="Calibri" w:hAnsi="Calibri"/>
          <w:b w:val="false"/>
          <w:bCs w:val="false"/>
          <w:i w:val="false"/>
          <w:iCs w:val="false"/>
          <w:color w:val="1A1A1A"/>
          <w:sz w:val="21"/>
          <w:szCs w:val="21"/>
        </w:rPr>
        <w:t>What remains (Section 8) is scoped, not open-ended: further sector sub-profile coverage (e.g. splitting F&amp;B-anchored retail from general merchandise, or light manufacturing from process-heavy manufacturing), and bill OCR moving from a scaffolded route to a live model key. The catalog gaps and the geographic-expansion question raised in an earlier draft of this report have both been resolved — the former by adding the missing measures directly, the latter by a deliberate decision to keep this tool's scope Singapore-only rather than dilute it with lower-confidence multi-country data. The architecture underneath — sourced data files, a bottom-up calculation engine, and a sector-tagged measure catalog — remains built to extend to new sectors or a new country's regulatory regime without a rebuild, should that ever become a priority.</w:t>
      </w:r>
    </w:p>
    <w:p>
      <w:pPr>
        <w:spacing w:after="160" w:line="276"/>
      </w:pPr>
      <w:r>
        <w:rPr>
          <w:rFonts w:ascii="Calibri" w:cs="Calibri" w:eastAsia="Calibri" w:hAnsi="Calibri"/>
          <w:b w:val="false"/>
          <w:bCs w:val="false"/>
          <w:i w:val="false"/>
          <w:iCs w:val="false"/>
          <w:color w:val="1A1A1A"/>
          <w:sz w:val="21"/>
          <w:szCs w:val="21"/>
        </w:rPr>
        <w:t>For the commercial-building profile this report was written against — a modern Singapore office operator with a facilities team, a finance function that approves on payback, and a sustainability function under growing reporting pressure — EcoStruxure Value Advisor is designed to be the first number in the room, not the last word: a fast, defensible starting point that earns the follow-up conversation, whether that's a deeper site audit, a Resource Advisor deployment for ongoing reporting, or a named EcoStruxure product recommendation with its payback already modelled.</w:t>
      </w:r>
    </w:p>
    <w:p>
      <w:r>
        <w:br w:type="page"/>
      </w:r>
    </w:p>
    <w:p>
      <w:pPr>
        <w:pStyle w:val="Heading1"/>
        <w:pBdr>
          <w:bottom w:val="single" w:color="0F6B4C" w:sz="8" w:space="4"/>
        </w:pBdr>
        <w:spacing w:after="200" w:before="480"/>
      </w:pPr>
      <w:r>
        <w:rPr>
          <w:rFonts w:ascii="Calibri" w:cs="Calibri" w:eastAsia="Calibri" w:hAnsi="Calibri"/>
          <w:b/>
          <w:bCs/>
          <w:color w:val="0A4A34"/>
          <w:sz w:val="30"/>
          <w:szCs w:val="30"/>
        </w:rPr>
        <w:t xml:space="preserve">References</w:t>
      </w:r>
    </w:p>
    <w:p>
      <w:pPr>
        <w:spacing w:after="160" w:line="276"/>
      </w:pPr>
      <w:r>
        <w:rPr>
          <w:rFonts w:ascii="Calibri" w:cs="Calibri" w:eastAsia="Calibri" w:hAnsi="Calibri"/>
          <w:b w:val="false"/>
          <w:bCs w:val="false"/>
          <w:i w:val="false"/>
          <w:iCs w:val="false"/>
          <w:color w:val="555555"/>
          <w:sz w:val="21"/>
          <w:szCs w:val="21"/>
        </w:rPr>
        <w:t xml:space="preserve">All emission factors, tariffs, tax rates, grants, and Energy Conservation Measure saving ranges cited in this report are drawn from the calculator's own version-stamped data files (/data/*.json), each of which carries an explicit source field and a proxy flag wherever a figure is an international stand-in. The primary sources behind those files:</w:t>
      </w:r>
    </w:p>
    <w:p>
      <w:pPr>
        <w:pStyle w:val="ListParagraph"/>
        <w:numPr>
          <w:ilvl w:val="0"/>
          <w:numId w:val="2"/>
        </w:numPr>
        <w:spacing w:after="90" w:line="264"/>
      </w:pPr>
      <w:r>
        <w:rPr>
          <w:rFonts w:ascii="Calibri" w:cs="Calibri" w:eastAsia="Calibri" w:hAnsi="Calibri"/>
          <w:color w:val="1A1A1A"/>
          <w:sz w:val="21"/>
          <w:szCs w:val="21"/>
        </w:rPr>
        <w:t xml:space="preserve">[1] Energy Market Authority (EMA). Grid Emission Factor 2024. Singapore: EMA, 2024.</w:t>
      </w:r>
    </w:p>
    <w:p>
      <w:pPr>
        <w:pStyle w:val="ListParagraph"/>
        <w:numPr>
          <w:ilvl w:val="0"/>
          <w:numId w:val="2"/>
        </w:numPr>
        <w:spacing w:after="90" w:line="264"/>
      </w:pPr>
      <w:r>
        <w:rPr>
          <w:rFonts w:ascii="Calibri" w:cs="Calibri" w:eastAsia="Calibri" w:hAnsi="Calibri"/>
          <w:color w:val="1A1A1A"/>
          <w:sz w:val="21"/>
          <w:szCs w:val="21"/>
        </w:rPr>
        <w:t xml:space="preserve">[2] National Environment Agency (NEA). Carbon Tax in Singapore.</w:t>
      </w:r>
    </w:p>
    <w:p>
      <w:pPr>
        <w:pStyle w:val="ListParagraph"/>
        <w:numPr>
          <w:ilvl w:val="0"/>
          <w:numId w:val="2"/>
        </w:numPr>
        <w:spacing w:after="90" w:line="264"/>
      </w:pPr>
      <w:r>
        <w:rPr>
          <w:rFonts w:ascii="Calibri" w:cs="Calibri" w:eastAsia="Calibri" w:hAnsi="Calibri"/>
          <w:color w:val="1A1A1A"/>
          <w:sz w:val="21"/>
          <w:szCs w:val="21"/>
        </w:rPr>
        <w:t xml:space="preserve">[3] Ministry of Sustainability and the Environment (MSE). Singapore's Long-Term Low Emissions Development Strategy (LEDS). 2020 (updated 2022).</w:t>
      </w:r>
    </w:p>
    <w:p>
      <w:pPr>
        <w:pStyle w:val="ListParagraph"/>
        <w:numPr>
          <w:ilvl w:val="0"/>
          <w:numId w:val="2"/>
        </w:numPr>
        <w:spacing w:after="90" w:line="264"/>
      </w:pPr>
      <w:r>
        <w:rPr>
          <w:rFonts w:ascii="Calibri" w:cs="Calibri" w:eastAsia="Calibri" w:hAnsi="Calibri"/>
          <w:color w:val="1A1A1A"/>
          <w:sz w:val="21"/>
          <w:szCs w:val="21"/>
        </w:rPr>
        <w:t xml:space="preserve">[4] National Environment Agency (NEA). Singapore Emission Factors Registry (SEFR).</w:t>
      </w:r>
    </w:p>
    <w:p>
      <w:pPr>
        <w:pStyle w:val="ListParagraph"/>
        <w:numPr>
          <w:ilvl w:val="0"/>
          <w:numId w:val="2"/>
        </w:numPr>
        <w:spacing w:after="90" w:line="264"/>
      </w:pPr>
      <w:r>
        <w:rPr>
          <w:rFonts w:ascii="Calibri" w:cs="Calibri" w:eastAsia="Calibri" w:hAnsi="Calibri"/>
          <w:color w:val="1A1A1A"/>
          <w:sz w:val="21"/>
          <w:szCs w:val="21"/>
        </w:rPr>
        <w:t xml:space="preserve">[5] SP Group. Quarterly Electricity Tariff Announcements.</w:t>
      </w:r>
    </w:p>
    <w:p>
      <w:pPr>
        <w:pStyle w:val="ListParagraph"/>
        <w:numPr>
          <w:ilvl w:val="0"/>
          <w:numId w:val="2"/>
        </w:numPr>
        <w:spacing w:after="90" w:line="264"/>
      </w:pPr>
      <w:r>
        <w:rPr>
          <w:rFonts w:ascii="Calibri" w:cs="Calibri" w:eastAsia="Calibri" w:hAnsi="Calibri"/>
          <w:color w:val="1A1A1A"/>
          <w:sz w:val="21"/>
          <w:szCs w:val="21"/>
        </w:rPr>
        <w:t xml:space="preserve">[6] EnterpriseSG / GoBusiness. Energy Efficiency Grant (EEG).</w:t>
      </w:r>
    </w:p>
    <w:p>
      <w:pPr>
        <w:pStyle w:val="ListParagraph"/>
        <w:numPr>
          <w:ilvl w:val="0"/>
          <w:numId w:val="2"/>
        </w:numPr>
        <w:spacing w:after="90" w:line="264"/>
      </w:pPr>
      <w:r>
        <w:rPr>
          <w:rFonts w:ascii="Calibri" w:cs="Calibri" w:eastAsia="Calibri" w:hAnsi="Calibri"/>
          <w:color w:val="1A1A1A"/>
          <w:sz w:val="21"/>
          <w:szCs w:val="21"/>
        </w:rPr>
        <w:t xml:space="preserve">[7] Building and Construction Authority (BCA). Green Mark for Buildings — Energy Benchmarks.</w:t>
      </w:r>
    </w:p>
    <w:p>
      <w:pPr>
        <w:pStyle w:val="ListParagraph"/>
        <w:numPr>
          <w:ilvl w:val="0"/>
          <w:numId w:val="2"/>
        </w:numPr>
        <w:spacing w:after="90" w:line="264"/>
      </w:pPr>
      <w:r>
        <w:rPr>
          <w:rFonts w:ascii="Calibri" w:cs="Calibri" w:eastAsia="Calibri" w:hAnsi="Calibri"/>
          <w:color w:val="1A1A1A"/>
          <w:sz w:val="21"/>
          <w:szCs w:val="21"/>
        </w:rPr>
        <w:t xml:space="preserve">[8] Carbon Pricing (Amendment) Act 2022. Republic of Singapore Government Gazette.</w:t>
      </w:r>
    </w:p>
    <w:p>
      <w:pPr>
        <w:pStyle w:val="ListParagraph"/>
        <w:numPr>
          <w:ilvl w:val="0"/>
          <w:numId w:val="2"/>
        </w:numPr>
        <w:spacing w:after="90" w:line="264"/>
      </w:pPr>
      <w:r>
        <w:rPr>
          <w:rFonts w:ascii="Calibri" w:cs="Calibri" w:eastAsia="Calibri" w:hAnsi="Calibri"/>
          <w:color w:val="1A1A1A"/>
          <w:sz w:val="21"/>
          <w:szCs w:val="21"/>
        </w:rPr>
        <w:t xml:space="preserve">[9] UK Department for Energy Security and Net Zero (DESNZ) / DEFRA. Greenhouse Gas Reporting: Conversion Factors, 2024–2026 editions.</w:t>
      </w:r>
    </w:p>
    <w:p>
      <w:pPr>
        <w:pStyle w:val="ListParagraph"/>
        <w:numPr>
          <w:ilvl w:val="0"/>
          <w:numId w:val="2"/>
        </w:numPr>
        <w:spacing w:after="90" w:line="264"/>
      </w:pPr>
      <w:r>
        <w:rPr>
          <w:rFonts w:ascii="Calibri" w:cs="Calibri" w:eastAsia="Calibri" w:hAnsi="Calibri"/>
          <w:color w:val="1A1A1A"/>
          <w:sz w:val="21"/>
          <w:szCs w:val="21"/>
        </w:rPr>
        <w:t xml:space="preserve">[10] US Environmental Protection Agency (EPA). Supply Chain Greenhouse Gas Emission Factors v2.0 (EEIO Model). Washington DC: EPA, 2022.</w:t>
      </w:r>
    </w:p>
    <w:p>
      <w:pPr>
        <w:pStyle w:val="ListParagraph"/>
        <w:numPr>
          <w:ilvl w:val="0"/>
          <w:numId w:val="2"/>
        </w:numPr>
        <w:spacing w:after="90" w:line="264"/>
      </w:pPr>
      <w:r>
        <w:rPr>
          <w:rFonts w:ascii="Calibri" w:cs="Calibri" w:eastAsia="Calibri" w:hAnsi="Calibri"/>
          <w:color w:val="1A1A1A"/>
          <w:sz w:val="21"/>
          <w:szCs w:val="21"/>
        </w:rPr>
        <w:t xml:space="preserve">[11] Intergovernmental Panel on Climate Change (IPCC). Climate Change 2021: The Physical Science Basis — Sixth Assessment Report (AR6) / Fifth Assessment Report (AR5), Global Warming Potentials.</w:t>
      </w:r>
    </w:p>
    <w:p>
      <w:pPr>
        <w:pStyle w:val="ListParagraph"/>
        <w:numPr>
          <w:ilvl w:val="0"/>
          <w:numId w:val="2"/>
        </w:numPr>
        <w:spacing w:after="90" w:line="264"/>
      </w:pPr>
      <w:r>
        <w:rPr>
          <w:rFonts w:ascii="Calibri" w:cs="Calibri" w:eastAsia="Calibri" w:hAnsi="Calibri"/>
          <w:color w:val="1A1A1A"/>
          <w:sz w:val="21"/>
          <w:szCs w:val="21"/>
        </w:rPr>
        <w:t xml:space="preserve">[12] GHG Protocol. Corporate Value Chain (Scope 3) Accounting and Reporting Standard. Washington DC: WRI &amp; WBCSD, 2011.</w:t>
      </w:r>
    </w:p>
    <w:p>
      <w:pPr>
        <w:pStyle w:val="ListParagraph"/>
        <w:numPr>
          <w:ilvl w:val="0"/>
          <w:numId w:val="2"/>
        </w:numPr>
        <w:spacing w:after="90" w:line="264"/>
      </w:pPr>
      <w:r>
        <w:rPr>
          <w:rFonts w:ascii="Calibri" w:cs="Calibri" w:eastAsia="Calibri" w:hAnsi="Calibri"/>
          <w:color w:val="1A1A1A"/>
          <w:sz w:val="21"/>
          <w:szCs w:val="21"/>
        </w:rPr>
        <w:t xml:space="preserve">[13] GHG Protocol. A Corporate Accounting and Reporting Standard (Corporate Standard). Revised edition. WRI &amp; WBCSD, 2015.</w:t>
      </w:r>
    </w:p>
    <w:p>
      <w:pPr>
        <w:pStyle w:val="ListParagraph"/>
        <w:numPr>
          <w:ilvl w:val="0"/>
          <w:numId w:val="2"/>
        </w:numPr>
        <w:spacing w:after="90" w:line="264"/>
      </w:pPr>
      <w:r>
        <w:rPr>
          <w:rFonts w:ascii="Calibri" w:cs="Calibri" w:eastAsia="Calibri" w:hAnsi="Calibri"/>
          <w:color w:val="1A1A1A"/>
          <w:sz w:val="21"/>
          <w:szCs w:val="21"/>
        </w:rPr>
        <w:t xml:space="preserve">[14] International Financial Reporting Standards Foundation (IFRS). IFRS S2 Climate-related Disclosures. London: IFRS Foundation, 2023.</w:t>
      </w:r>
    </w:p>
    <w:p>
      <w:pPr>
        <w:pStyle w:val="ListParagraph"/>
        <w:numPr>
          <w:ilvl w:val="0"/>
          <w:numId w:val="2"/>
        </w:numPr>
        <w:spacing w:after="90" w:line="264"/>
      </w:pPr>
      <w:r>
        <w:rPr>
          <w:rFonts w:ascii="Calibri" w:cs="Calibri" w:eastAsia="Calibri" w:hAnsi="Calibri"/>
          <w:color w:val="1A1A1A"/>
          <w:sz w:val="21"/>
          <w:szCs w:val="21"/>
        </w:rPr>
        <w:t xml:space="preserve">[15] Science Based Targets initiative (SBTi). Corporate Net-Zero Standard v1.1. Brussels: SBTi, 2023.</w:t>
      </w:r>
    </w:p>
    <w:p>
      <w:pPr>
        <w:pStyle w:val="ListParagraph"/>
        <w:numPr>
          <w:ilvl w:val="0"/>
          <w:numId w:val="2"/>
        </w:numPr>
        <w:spacing w:after="90" w:line="264"/>
      </w:pPr>
      <w:r>
        <w:rPr>
          <w:rFonts w:ascii="Calibri" w:cs="Calibri" w:eastAsia="Calibri" w:hAnsi="Calibri"/>
          <w:color w:val="1A1A1A"/>
          <w:sz w:val="21"/>
          <w:szCs w:val="21"/>
        </w:rPr>
        <w:t xml:space="preserve">[16] Singapore Exchange (SGX). Sustainability Reporting — Climate Reporting Requirements for Listed Companies. 2023.</w:t>
      </w:r>
    </w:p>
    <w:p>
      <w:pPr>
        <w:pStyle w:val="ListParagraph"/>
        <w:numPr>
          <w:ilvl w:val="0"/>
          <w:numId w:val="2"/>
        </w:numPr>
        <w:spacing w:after="90" w:line="264"/>
      </w:pPr>
      <w:r>
        <w:rPr>
          <w:rFonts w:ascii="Calibri" w:cs="Calibri" w:eastAsia="Calibri" w:hAnsi="Calibri"/>
          <w:color w:val="1A1A1A"/>
          <w:sz w:val="21"/>
          <w:szCs w:val="21"/>
        </w:rPr>
        <w:t xml:space="preserve">[17] US Department of Energy (DOE) and ENERGY STAR. Energy Conservation Measure savings ranges (lighting, HVAC, refrigeration, cooking, compressed air, process heat).</w:t>
      </w:r>
    </w:p>
    <w:p>
      <w:pPr>
        <w:pStyle w:val="ListParagraph"/>
        <w:numPr>
          <w:ilvl w:val="0"/>
          <w:numId w:val="2"/>
        </w:numPr>
        <w:spacing w:after="90" w:line="264"/>
      </w:pPr>
      <w:r>
        <w:rPr>
          <w:rFonts w:ascii="Calibri" w:cs="Calibri" w:eastAsia="Calibri" w:hAnsi="Calibri"/>
          <w:color w:val="1A1A1A"/>
          <w:sz w:val="21"/>
          <w:szCs w:val="21"/>
        </w:rPr>
        <w:t xml:space="preserve">[18] ASHRAE / ASHRAE Guideline 36. Chiller plant sequencing and condenser water reset guidance.</w:t>
      </w:r>
    </w:p>
    <w:p>
      <w:pPr>
        <w:pStyle w:val="ListParagraph"/>
        <w:numPr>
          <w:ilvl w:val="0"/>
          <w:numId w:val="2"/>
        </w:numPr>
        <w:spacing w:after="90" w:line="264"/>
      </w:pPr>
      <w:r>
        <w:rPr>
          <w:rFonts w:ascii="Calibri" w:cs="Calibri" w:eastAsia="Calibri" w:hAnsi="Calibri"/>
          <w:color w:val="1A1A1A"/>
          <w:sz w:val="21"/>
          <w:szCs w:val="21"/>
        </w:rPr>
        <w:t xml:space="preserve">[19] US Energy Information Administration (EIA). Commercial Buildings Energy Consumption Survey (CBECS); Today in Energy (restaurant/lodging end-use data).</w:t>
      </w:r>
    </w:p>
    <w:p>
      <w:pPr>
        <w:pStyle w:val="ListParagraph"/>
        <w:numPr>
          <w:ilvl w:val="0"/>
          <w:numId w:val="2"/>
        </w:numPr>
        <w:spacing w:after="90" w:line="264"/>
      </w:pPr>
      <w:r>
        <w:rPr>
          <w:rFonts w:ascii="Calibri" w:cs="Calibri" w:eastAsia="Calibri" w:hAnsi="Calibri"/>
          <w:color w:val="1A1A1A"/>
          <w:sz w:val="21"/>
          <w:szCs w:val="21"/>
        </w:rPr>
        <w:t>[20] Schneider Electric. Case studies: JLL Asia-Pacific HQ; Samwoh Smart Hub; Marriott International; Chew's Agriculture; Kallang Pulse (Schneider Electric Singapore HQ).</w:t>
      </w:r>
    </w:p>
    <w:sectPr>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5"/>
        <w:szCs w:val="15"/>
      </w:rPr>
      <w:t xml:space="preserve">PEAK Calculator — Product &amp; Impact Report  |  </w:t>
    </w:r>
    <w:r>
      <w:rPr>
        <w:rFonts w:ascii="Calibri" w:cs="Calibri" w:eastAsia="Calibri" w:hAnsi="Calibri"/>
        <w:color w:val="555555"/>
        <w:sz w:val="15"/>
        <w:szCs w:val="15"/>
      </w:rPr>
      <w:t xml:space="preserve">Page </w:t>
    </w:r>
    <w:r>
      <w:rPr>
        <w:rFonts w:ascii="Calibri" w:cs="Calibri" w:eastAsia="Calibri" w:hAnsi="Calibri"/>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2026-09-26T15:32:48.001Z</dcterms:created>
  <dcterms:modified xsi:type="dcterms:W3CDTF">2026-09-26T15:32:48.003Z</dcterms:modified>
</cp:coreProperties>
</file>

<file path=docProps/custom.xml><?xml version="1.0" encoding="utf-8"?>
<Properties xmlns="http://schemas.openxmlformats.org/officeDocument/2006/custom-properties" xmlns:vt="http://schemas.openxmlformats.org/officeDocument/2006/docPropsVTypes"/>
</file>