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0F6B49"/>
          <w:sz w:val="56"/>
          <w:szCs w:val="56"/>
        </w:rPr>
        <w:t xml:space="preserve">PEAK Calculator</w:t>
      </w:r>
    </w:p>
    <w:p>
      <w:pPr>
        <w:spacing w:after="40"/>
        <w:jc w:val="center"/>
      </w:pPr>
      <w:r>
        <w:rPr>
          <w:color w:val="555555"/>
          <w:sz w:val="24"/>
          <w:szCs w:val="24"/>
        </w:rPr>
        <w:t xml:space="preserve">Schneider Electric Emissions-to-Dollar Calculator — Singapore</w:t>
      </w:r>
    </w:p>
    <w:p>
      <w:pPr>
        <w:spacing w:after="600"/>
        <w:jc w:val="center"/>
      </w:pPr>
      <w:r>
        <w:rPr>
          <w:b/>
          <w:bCs/>
          <w:color w:val="1A1A1A"/>
          <w:sz w:val="32"/>
          <w:szCs w:val="32"/>
        </w:rPr>
        <w:t xml:space="preserve">Validation Report: 6 Real-World Test Scenarios</w:t>
      </w:r>
    </w:p>
    <w:p>
      <w:pPr>
        <w:spacing w:after="160"/>
      </w:pPr>
      <w:r>
        <w:rPr>
          <w:i w:val="false"/>
          <w:iCs w:val="false"/>
          <w:color w:val="1A1A1A"/>
          <w:sz w:val="21"/>
          <w:szCs w:val="21"/>
        </w:rPr>
        <w:t xml:space="preserve">This report runs the calculator against six independently-constructed, realistic Singapore business profiles — three SME and three MNC — spanning six different sectors (retail, professional services, manufacturing, hospitality, and logistics). Every figure below was produced by the deterministic calculation engine (no AI touches the math) and cross-checked by hand against the underlying formulas; two of the six cases are shown in full arithmetic detail in the accompanying session notes and matched the engine's output to the decimal.</w:t>
      </w:r>
    </w:p>
    <w:p>
      <w:pPr>
        <w:spacing w:after="200"/>
      </w:pPr>
      <w:r>
        <w:rPr>
          <w:i/>
          <w:iCs/>
          <w:color w:val="555555"/>
          <w:sz w:val="18"/>
          <w:szCs w:val="18"/>
        </w:rPr>
        <w:t xml:space="preserve">Generated 2026-09-18 from the current build of the PEAK Calculator engine (src/lib/calc/engine.ts and mncEngine.ts).</w:t>
      </w:r>
    </w:p>
    <w:p>
      <w:r>
        <w:br w:type="page"/>
      </w:r>
    </w:p>
    <w:p>
      <w:pPr>
        <w:pStyle w:val="Heading1"/>
        <w:spacing w:after="200" w:before="400"/>
      </w:pPr>
      <w:r>
        <w:t xml:space="preserve">Part 1 — SME Mode (3 scenarios)</w:t>
      </w:r>
    </w:p>
    <w:p>
      <w:pPr>
        <w:pStyle w:val="Heading2"/>
        <w:spacing w:after="150" w:before="300"/>
      </w:pPr>
      <w:r>
        <w:t xml:space="preserve">Nature's Basket Grocers (Retail SME)</w:t>
      </w:r>
    </w:p>
    <w:p>
      <w:pPr>
        <w:spacing w:after="100" w:before="240"/>
      </w:pPr>
      <w:r>
        <w:rPr>
          <w:b/>
          <w:bCs/>
          <w:color w:val="0F6B49"/>
          <w:sz w:val="24"/>
          <w:szCs w:val="24"/>
        </w:rPr>
        <w:t xml:space="preserve">Company profile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Sector</w:t>
            </w:r>
          </w:p>
        </w:tc>
        <w:tc>
          <w:tcPr>
            <w:tcW w:type="dxa" w:w="5700"/>
            <w:tcMar>
              <w:top w:type="dxa" w:w="80"/>
              <w:left w:type="dxa" w:w="120"/>
              <w:bottom w:type="dxa" w:w="80"/>
              <w:right w:type="dxa" w:w="120"/>
            </w:tcMar>
          </w:tcPr>
          <w:p>
            <w:r>
              <w:rPr>
                <w:b w:val="false"/>
                <w:bCs w:val="false"/>
                <w:color w:val="1A1A1A"/>
                <w:sz w:val="20"/>
                <w:szCs w:val="20"/>
              </w:rPr>
              <w:t xml:space="preserve">Retail (specialty grocery)</w:t>
            </w:r>
          </w:p>
        </w:tc>
      </w:tr>
      <w:tr>
        <w:tc>
          <w:tcPr>
            <w:tcW w:type="dxa" w:w="2800"/>
            <w:shd w:fill="E6F5EE" w:val="clear"/>
            <w:tcMar>
              <w:top w:type="dxa" w:w="80"/>
              <w:left w:type="dxa" w:w="120"/>
              <w:bottom w:type="dxa" w:w="80"/>
              <w:right w:type="dxa" w:w="120"/>
            </w:tcMar>
          </w:tcPr>
          <w:p>
            <w:r>
              <w:rPr>
                <w:b/>
                <w:bCs/>
                <w:color w:val="0F6B49"/>
                <w:sz w:val="20"/>
                <w:szCs w:val="20"/>
              </w:rPr>
              <w:t xml:space="preserve">Sites</w:t>
            </w:r>
          </w:p>
        </w:tc>
        <w:tc>
          <w:tcPr>
            <w:tcW w:type="dxa" w:w="5700"/>
            <w:tcMar>
              <w:top w:type="dxa" w:w="80"/>
              <w:left w:type="dxa" w:w="120"/>
              <w:bottom w:type="dxa" w:w="80"/>
              <w:right w:type="dxa" w:w="120"/>
            </w:tcMar>
          </w:tcPr>
          <w:p>
            <w:r>
              <w:rPr>
                <w:b w:val="false"/>
                <w:bCs w:val="false"/>
                <w:color w:val="1A1A1A"/>
                <w:sz w:val="20"/>
                <w:szCs w:val="20"/>
              </w:rPr>
              <w:t xml:space="preserve">1</w:t>
            </w:r>
          </w:p>
        </w:tc>
      </w:tr>
      <w:tr>
        <w:tc>
          <w:tcPr>
            <w:tcW w:type="dxa" w:w="2800"/>
            <w:shd w:fill="E6F5EE" w:val="clear"/>
            <w:tcMar>
              <w:top w:type="dxa" w:w="80"/>
              <w:left w:type="dxa" w:w="120"/>
              <w:bottom w:type="dxa" w:w="80"/>
              <w:right w:type="dxa" w:w="120"/>
            </w:tcMar>
          </w:tcPr>
          <w:p>
            <w:r>
              <w:rPr>
                <w:b/>
                <w:bCs/>
                <w:color w:val="0F6B49"/>
                <w:sz w:val="20"/>
                <w:szCs w:val="20"/>
              </w:rPr>
              <w:t xml:space="preserve">Floor area</w:t>
            </w:r>
          </w:p>
        </w:tc>
        <w:tc>
          <w:tcPr>
            <w:tcW w:type="dxa" w:w="5700"/>
            <w:tcMar>
              <w:top w:type="dxa" w:w="80"/>
              <w:left w:type="dxa" w:w="120"/>
              <w:bottom w:type="dxa" w:w="80"/>
              <w:right w:type="dxa" w:w="120"/>
            </w:tcMar>
          </w:tcPr>
          <w:p>
            <w:r>
              <w:rPr>
                <w:b w:val="false"/>
                <w:bCs w:val="false"/>
                <w:color w:val="1A1A1A"/>
                <w:sz w:val="20"/>
                <w:szCs w:val="20"/>
              </w:rPr>
              <w:t xml:space="preserve">450 m²</w:t>
            </w:r>
          </w:p>
        </w:tc>
      </w:tr>
      <w:tr>
        <w:tc>
          <w:tcPr>
            <w:tcW w:type="dxa" w:w="2800"/>
            <w:shd w:fill="E6F5EE" w:val="clear"/>
            <w:tcMar>
              <w:top w:type="dxa" w:w="80"/>
              <w:left w:type="dxa" w:w="120"/>
              <w:bottom w:type="dxa" w:w="80"/>
              <w:right w:type="dxa" w:w="120"/>
            </w:tcMar>
          </w:tcPr>
          <w:p>
            <w:r>
              <w:rPr>
                <w:b/>
                <w:bCs/>
                <w:color w:val="0F6B49"/>
                <w:sz w:val="20"/>
                <w:szCs w:val="20"/>
              </w:rPr>
              <w:t xml:space="preserve">Employees</w:t>
            </w:r>
          </w:p>
        </w:tc>
        <w:tc>
          <w:tcPr>
            <w:tcW w:type="dxa" w:w="5700"/>
            <w:tcMar>
              <w:top w:type="dxa" w:w="80"/>
              <w:left w:type="dxa" w:w="120"/>
              <w:bottom w:type="dxa" w:w="80"/>
              <w:right w:type="dxa" w:w="120"/>
            </w:tcMar>
          </w:tcPr>
          <w:p>
            <w:r>
              <w:rPr>
                <w:b w:val="false"/>
                <w:bCs w:val="false"/>
                <w:color w:val="1A1A1A"/>
                <w:sz w:val="20"/>
                <w:szCs w:val="20"/>
              </w:rPr>
              <w:t xml:space="preserve">18</w:t>
            </w:r>
          </w:p>
        </w:tc>
      </w:tr>
      <w:tr>
        <w:tc>
          <w:tcPr>
            <w:tcW w:type="dxa" w:w="2800"/>
            <w:shd w:fill="E6F5EE" w:val="clear"/>
            <w:tcMar>
              <w:top w:type="dxa" w:w="80"/>
              <w:left w:type="dxa" w:w="120"/>
              <w:bottom w:type="dxa" w:w="80"/>
              <w:right w:type="dxa" w:w="120"/>
            </w:tcMar>
          </w:tcPr>
          <w:p>
            <w:r>
              <w:rPr>
                <w:b/>
                <w:bCs/>
                <w:color w:val="0F6B49"/>
                <w:sz w:val="20"/>
                <w:szCs w:val="20"/>
              </w:rPr>
              <w:t xml:space="preserve">Annual revenue</w:t>
            </w:r>
          </w:p>
        </w:tc>
        <w:tc>
          <w:tcPr>
            <w:tcW w:type="dxa" w:w="5700"/>
            <w:tcMar>
              <w:top w:type="dxa" w:w="80"/>
              <w:left w:type="dxa" w:w="120"/>
              <w:bottom w:type="dxa" w:w="80"/>
              <w:right w:type="dxa" w:w="120"/>
            </w:tcMar>
          </w:tcPr>
          <w:p>
            <w:r>
              <w:rPr>
                <w:b w:val="false"/>
                <w:bCs w:val="false"/>
                <w:color w:val="1A1A1A"/>
                <w:sz w:val="20"/>
                <w:szCs w:val="20"/>
              </w:rPr>
              <w:t xml:space="preserve">S$3,200,000</w:t>
            </w:r>
          </w:p>
        </w:tc>
      </w:tr>
      <w:tr>
        <w:tc>
          <w:tcPr>
            <w:tcW w:type="dxa" w:w="2800"/>
            <w:shd w:fill="E6F5EE" w:val="clear"/>
            <w:tcMar>
              <w:top w:type="dxa" w:w="80"/>
              <w:left w:type="dxa" w:w="120"/>
              <w:bottom w:type="dxa" w:w="80"/>
              <w:right w:type="dxa" w:w="120"/>
            </w:tcMar>
          </w:tcPr>
          <w:p>
            <w:r>
              <w:rPr>
                <w:b/>
                <w:bCs/>
                <w:color w:val="0F6B49"/>
                <w:sz w:val="20"/>
                <w:szCs w:val="20"/>
              </w:rPr>
              <w:t xml:space="preserve">Electricity</w:t>
            </w:r>
          </w:p>
        </w:tc>
        <w:tc>
          <w:tcPr>
            <w:tcW w:type="dxa" w:w="5700"/>
            <w:tcMar>
              <w:top w:type="dxa" w:w="80"/>
              <w:left w:type="dxa" w:w="120"/>
              <w:bottom w:type="dxa" w:w="80"/>
              <w:right w:type="dxa" w:w="120"/>
            </w:tcMar>
          </w:tcPr>
          <w:p>
            <w:r>
              <w:rPr>
                <w:b w:val="false"/>
                <w:bCs w:val="false"/>
                <w:color w:val="1A1A1A"/>
                <w:sz w:val="20"/>
                <w:szCs w:val="20"/>
              </w:rPr>
              <w:t xml:space="preserve">17,000 kWh/month</w:t>
            </w:r>
          </w:p>
        </w:tc>
      </w:tr>
      <w:tr>
        <w:tc>
          <w:tcPr>
            <w:tcW w:type="dxa" w:w="2800"/>
            <w:shd w:fill="E6F5EE" w:val="clear"/>
            <w:tcMar>
              <w:top w:type="dxa" w:w="80"/>
              <w:left w:type="dxa" w:w="120"/>
              <w:bottom w:type="dxa" w:w="80"/>
              <w:right w:type="dxa" w:w="120"/>
            </w:tcMar>
          </w:tcPr>
          <w:p>
            <w:r>
              <w:rPr>
                <w:b/>
                <w:bCs/>
                <w:color w:val="0F6B49"/>
                <w:sz w:val="20"/>
                <w:szCs w:val="20"/>
              </w:rPr>
              <w:t xml:space="preserve">Fleet</w:t>
            </w:r>
          </w:p>
        </w:tc>
        <w:tc>
          <w:tcPr>
            <w:tcW w:type="dxa" w:w="5700"/>
            <w:tcMar>
              <w:top w:type="dxa" w:w="80"/>
              <w:left w:type="dxa" w:w="120"/>
              <w:bottom w:type="dxa" w:w="80"/>
              <w:right w:type="dxa" w:w="120"/>
            </w:tcMar>
          </w:tcPr>
          <w:p>
            <w:r>
              <w:rPr>
                <w:b w:val="false"/>
                <w:bCs w:val="false"/>
                <w:color w:val="1A1A1A"/>
                <w:sz w:val="20"/>
                <w:szCs w:val="20"/>
              </w:rPr>
              <w:t xml:space="preserve">2 delivery vans, diesel, 300 L/month</w:t>
            </w:r>
          </w:p>
        </w:tc>
      </w:tr>
      <w:tr>
        <w:tc>
          <w:tcPr>
            <w:tcW w:type="dxa" w:w="2800"/>
            <w:shd w:fill="E6F5EE" w:val="clear"/>
            <w:tcMar>
              <w:top w:type="dxa" w:w="80"/>
              <w:left w:type="dxa" w:w="120"/>
              <w:bottom w:type="dxa" w:w="80"/>
              <w:right w:type="dxa" w:w="120"/>
            </w:tcMar>
          </w:tcPr>
          <w:p>
            <w:r>
              <w:rPr>
                <w:b/>
                <w:bCs/>
                <w:color w:val="0F6B49"/>
                <w:sz w:val="20"/>
                <w:szCs w:val="20"/>
              </w:rPr>
              <w:t xml:space="preserve">Refrigerants</w:t>
            </w:r>
          </w:p>
        </w:tc>
        <w:tc>
          <w:tcPr>
            <w:tcW w:type="dxa" w:w="5700"/>
            <w:tcMar>
              <w:top w:type="dxa" w:w="80"/>
              <w:left w:type="dxa" w:w="120"/>
              <w:bottom w:type="dxa" w:w="80"/>
              <w:right w:type="dxa" w:w="120"/>
            </w:tcMar>
          </w:tcPr>
          <w:p>
            <w:r>
              <w:rPr>
                <w:b w:val="false"/>
                <w:bCs w:val="false"/>
                <w:color w:val="1A1A1A"/>
                <w:sz w:val="20"/>
                <w:szCs w:val="20"/>
              </w:rPr>
              <w:t xml:space="preserve">R-410A, 15 kg/year top-up</w:t>
            </w:r>
          </w:p>
        </w:tc>
      </w:tr>
      <w:tr>
        <w:tc>
          <w:tcPr>
            <w:tcW w:type="dxa" w:w="2800"/>
            <w:shd w:fill="E6F5EE" w:val="clear"/>
            <w:tcMar>
              <w:top w:type="dxa" w:w="80"/>
              <w:left w:type="dxa" w:w="120"/>
              <w:bottom w:type="dxa" w:w="80"/>
              <w:right w:type="dxa" w:w="120"/>
            </w:tcMar>
          </w:tcPr>
          <w:p>
            <w:r>
              <w:rPr>
                <w:b/>
                <w:bCs/>
                <w:color w:val="0F6B49"/>
                <w:sz w:val="20"/>
                <w:szCs w:val="20"/>
              </w:rPr>
              <w:t xml:space="preserve">Est. investment</w:t>
            </w:r>
          </w:p>
        </w:tc>
        <w:tc>
          <w:tcPr>
            <w:tcW w:type="dxa" w:w="5700"/>
            <w:tcMar>
              <w:top w:type="dxa" w:w="80"/>
              <w:left w:type="dxa" w:w="120"/>
              <w:bottom w:type="dxa" w:w="80"/>
              <w:right w:type="dxa" w:w="120"/>
            </w:tcMar>
          </w:tcPr>
          <w:p>
            <w:r>
              <w:rPr>
                <w:b w:val="false"/>
                <w:bCs w:val="false"/>
                <w:color w:val="1A1A1A"/>
                <w:sz w:val="20"/>
                <w:szCs w:val="20"/>
              </w:rPr>
              <w:t xml:space="preserve">S$120,000</w:t>
            </w:r>
          </w:p>
        </w:tc>
      </w:tr>
    </w:tbl>
    <w:p>
      <w:pPr>
        <w:spacing w:after="100" w:before="240"/>
      </w:pPr>
      <w:r>
        <w:rPr>
          <w:b/>
          <w:bCs/>
          <w:color w:val="0F6B49"/>
          <w:sz w:val="24"/>
          <w:szCs w:val="24"/>
        </w:rPr>
        <w:t xml:space="preserve">Current situation — what they're paying / emitting today</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Current annual carbon cost</w:t>
            </w:r>
          </w:p>
        </w:tc>
        <w:tc>
          <w:tcPr>
            <w:tcW w:type="dxa" w:w="5700"/>
            <w:tcMar>
              <w:top w:type="dxa" w:w="80"/>
              <w:left w:type="dxa" w:w="120"/>
              <w:bottom w:type="dxa" w:w="80"/>
              <w:right w:type="dxa" w:w="120"/>
            </w:tcMar>
          </w:tcPr>
          <w:p>
            <w:r>
              <w:rPr>
                <w:b w:val="false"/>
                <w:bCs w:val="false"/>
                <w:color w:val="1A1A1A"/>
                <w:sz w:val="20"/>
                <w:szCs w:val="20"/>
              </w:rPr>
              <w:t xml:space="preserve">S$65,096</w:t>
            </w:r>
          </w:p>
        </w:tc>
      </w:tr>
      <w:tr>
        <w:tc>
          <w:tcPr>
            <w:tcW w:type="dxa" w:w="2800"/>
            <w:shd w:fill="E6F5EE" w:val="clear"/>
            <w:tcMar>
              <w:top w:type="dxa" w:w="80"/>
              <w:left w:type="dxa" w:w="120"/>
              <w:bottom w:type="dxa" w:w="80"/>
              <w:right w:type="dxa" w:w="120"/>
            </w:tcMar>
          </w:tcPr>
          <w:p>
            <w:r>
              <w:rPr>
                <w:b/>
                <w:bCs/>
                <w:color w:val="0F6B49"/>
                <w:sz w:val="20"/>
                <w:szCs w:val="20"/>
              </w:rPr>
              <w:t xml:space="preserve">Scope 1 (direct — fuel, refrigerants, gas)</w:t>
            </w:r>
          </w:p>
        </w:tc>
        <w:tc>
          <w:tcPr>
            <w:tcW w:type="dxa" w:w="5700"/>
            <w:tcMar>
              <w:top w:type="dxa" w:w="80"/>
              <w:left w:type="dxa" w:w="120"/>
              <w:bottom w:type="dxa" w:w="80"/>
              <w:right w:type="dxa" w:w="120"/>
            </w:tcMar>
          </w:tcPr>
          <w:p>
            <w:r>
              <w:rPr>
                <w:b w:val="false"/>
                <w:bCs w:val="false"/>
                <w:color w:val="1A1A1A"/>
                <w:sz w:val="20"/>
                <w:szCs w:val="20"/>
              </w:rPr>
              <w:t xml:space="preserve">41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2 (purchased electricity)</w:t>
            </w:r>
          </w:p>
        </w:tc>
        <w:tc>
          <w:tcPr>
            <w:tcW w:type="dxa" w:w="5700"/>
            <w:tcMar>
              <w:top w:type="dxa" w:w="80"/>
              <w:left w:type="dxa" w:w="120"/>
              <w:bottom w:type="dxa" w:w="80"/>
              <w:right w:type="dxa" w:w="120"/>
            </w:tcMar>
          </w:tcPr>
          <w:p>
            <w:r>
              <w:rPr>
                <w:b w:val="false"/>
                <w:bCs w:val="false"/>
                <w:color w:val="1A1A1A"/>
                <w:sz w:val="20"/>
                <w:szCs w:val="20"/>
              </w:rPr>
              <w:t xml:space="preserve">82 tCO2e</w:t>
            </w:r>
          </w:p>
        </w:tc>
      </w:tr>
      <w:tr>
        <w:tc>
          <w:tcPr>
            <w:tcW w:type="dxa" w:w="2800"/>
            <w:shd w:fill="E6F5EE" w:val="clear"/>
            <w:tcMar>
              <w:top w:type="dxa" w:w="80"/>
              <w:left w:type="dxa" w:w="120"/>
              <w:bottom w:type="dxa" w:w="80"/>
              <w:right w:type="dxa" w:w="120"/>
            </w:tcMar>
          </w:tcPr>
          <w:p>
            <w:r>
              <w:rPr>
                <w:b/>
                <w:bCs/>
                <w:color w:val="0F6B49"/>
                <w:sz w:val="20"/>
                <w:szCs w:val="20"/>
              </w:rPr>
              <w:t xml:space="preserve">Total Scope 1+2</w:t>
            </w:r>
          </w:p>
        </w:tc>
        <w:tc>
          <w:tcPr>
            <w:tcW w:type="dxa" w:w="5700"/>
            <w:tcMar>
              <w:top w:type="dxa" w:w="80"/>
              <w:left w:type="dxa" w:w="120"/>
              <w:bottom w:type="dxa" w:w="80"/>
              <w:right w:type="dxa" w:w="120"/>
            </w:tcMar>
          </w:tcPr>
          <w:p>
            <w:r>
              <w:rPr>
                <w:b w:val="false"/>
                <w:bCs w:val="false"/>
                <w:color w:val="1A1A1A"/>
                <w:sz w:val="20"/>
                <w:szCs w:val="20"/>
              </w:rPr>
              <w:t xml:space="preserve">123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3 (value chain, context only)</w:t>
            </w:r>
          </w:p>
        </w:tc>
        <w:tc>
          <w:tcPr>
            <w:tcW w:type="dxa" w:w="5700"/>
            <w:tcMar>
              <w:top w:type="dxa" w:w="80"/>
              <w:left w:type="dxa" w:w="120"/>
              <w:bottom w:type="dxa" w:w="80"/>
              <w:right w:type="dxa" w:w="120"/>
            </w:tcMar>
          </w:tcPr>
          <w:p>
            <w:r>
              <w:rPr>
                <w:b w:val="false"/>
                <w:bCs w:val="false"/>
                <w:color w:val="1A1A1A"/>
                <w:sz w:val="20"/>
                <w:szCs w:val="20"/>
              </w:rPr>
              <w:t xml:space="preserve">353 tCO2e</w:t>
            </w:r>
          </w:p>
        </w:tc>
      </w:tr>
      <w:tr>
        <w:tc>
          <w:tcPr>
            <w:tcW w:type="dxa" w:w="2800"/>
            <w:shd w:fill="E6F5EE" w:val="clear"/>
            <w:tcMar>
              <w:top w:type="dxa" w:w="80"/>
              <w:left w:type="dxa" w:w="120"/>
              <w:bottom w:type="dxa" w:w="80"/>
              <w:right w:type="dxa" w:w="120"/>
            </w:tcMar>
          </w:tcPr>
          <w:p>
            <w:r>
              <w:rPr>
                <w:b/>
                <w:bCs/>
                <w:color w:val="0F6B49"/>
                <w:sz w:val="20"/>
                <w:szCs w:val="20"/>
              </w:rPr>
              <w:t xml:space="preserve">Sector position</w:t>
            </w:r>
          </w:p>
        </w:tc>
        <w:tc>
          <w:tcPr>
            <w:tcW w:type="dxa" w:w="5700"/>
            <w:tcMar>
              <w:top w:type="dxa" w:w="80"/>
              <w:left w:type="dxa" w:w="120"/>
              <w:bottom w:type="dxa" w:w="80"/>
              <w:right w:type="dxa" w:w="120"/>
            </w:tcMar>
          </w:tcPr>
          <w:p>
            <w:r>
              <w:rPr>
                <w:b w:val="false"/>
                <w:bCs w:val="false"/>
                <w:color w:val="1A1A1A"/>
                <w:sz w:val="20"/>
                <w:szCs w:val="20"/>
              </w:rPr>
              <w:t xml:space="preserve">Above sector average energy intensity</w:t>
            </w:r>
          </w:p>
        </w:tc>
      </w:tr>
      <w:tr>
        <w:tc>
          <w:tcPr>
            <w:tcW w:type="dxa" w:w="2800"/>
            <w:shd w:fill="E6F5EE" w:val="clear"/>
            <w:tcMar>
              <w:top w:type="dxa" w:w="80"/>
              <w:left w:type="dxa" w:w="120"/>
              <w:bottom w:type="dxa" w:w="80"/>
              <w:right w:type="dxa" w:w="120"/>
            </w:tcMar>
          </w:tcPr>
          <w:p>
            <w:r>
              <w:rPr>
                <w:b/>
                <w:bCs/>
                <w:color w:val="0F6B49"/>
                <w:sz w:val="20"/>
                <w:szCs w:val="20"/>
              </w:rPr>
              <w:t xml:space="preserve">Direct carbon taxpayer?</w:t>
            </w:r>
          </w:p>
        </w:tc>
        <w:tc>
          <w:tcPr>
            <w:tcW w:type="dxa" w:w="5700"/>
            <w:tcMar>
              <w:top w:type="dxa" w:w="80"/>
              <w:left w:type="dxa" w:w="120"/>
              <w:bottom w:type="dxa" w:w="80"/>
              <w:right w:type="dxa" w:w="120"/>
            </w:tcMar>
          </w:tcPr>
          <w:p>
            <w:r>
              <w:rPr>
                <w:b w:val="false"/>
                <w:bCs w:val="false"/>
                <w:color w:val="1A1A1A"/>
                <w:sz w:val="20"/>
                <w:szCs w:val="20"/>
              </w:rPr>
              <w:t xml:space="preserve">No — pass-through only, already in tariff</w:t>
            </w:r>
          </w:p>
        </w:tc>
      </w:tr>
    </w:tbl>
    <w:p>
      <w:pPr>
        <w:spacing w:after="100" w:before="240"/>
      </w:pPr>
      <w:r>
        <w:rPr>
          <w:b/>
          <w:bCs/>
          <w:color w:val="0F6B49"/>
          <w:sz w:val="24"/>
          <w:szCs w:val="24"/>
        </w:rPr>
        <w:t xml:space="preserve">Potential — what they could save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Estimated Year-1 saving</w:t>
            </w:r>
          </w:p>
        </w:tc>
        <w:tc>
          <w:tcPr>
            <w:tcW w:type="dxa" w:w="5700"/>
            <w:tcMar>
              <w:top w:type="dxa" w:w="80"/>
              <w:left w:type="dxa" w:w="120"/>
              <w:bottom w:type="dxa" w:w="80"/>
              <w:right w:type="dxa" w:w="120"/>
            </w:tcMar>
          </w:tcPr>
          <w:p>
            <w:r>
              <w:rPr>
                <w:b w:val="false"/>
                <w:bCs w:val="false"/>
                <w:color w:val="1A1A1A"/>
                <w:sz w:val="20"/>
                <w:szCs w:val="20"/>
              </w:rPr>
              <w:t xml:space="preserve">S$27,314 – S$56,729</w:t>
            </w:r>
          </w:p>
        </w:tc>
      </w:tr>
      <w:tr>
        <w:tc>
          <w:tcPr>
            <w:tcW w:type="dxa" w:w="2800"/>
            <w:shd w:fill="E6F5EE" w:val="clear"/>
            <w:tcMar>
              <w:top w:type="dxa" w:w="80"/>
              <w:left w:type="dxa" w:w="120"/>
              <w:bottom w:type="dxa" w:w="80"/>
              <w:right w:type="dxa" w:w="120"/>
            </w:tcMar>
          </w:tcPr>
          <w:p>
            <w:r>
              <w:rPr>
                <w:b/>
                <w:bCs/>
                <w:color w:val="0F6B49"/>
                <w:sz w:val="20"/>
                <w:szCs w:val="20"/>
              </w:rPr>
              <w:t xml:space="preserve">Estimated 10-year cumulative saving</w:t>
            </w:r>
          </w:p>
        </w:tc>
        <w:tc>
          <w:tcPr>
            <w:tcW w:type="dxa" w:w="5700"/>
            <w:tcMar>
              <w:top w:type="dxa" w:w="80"/>
              <w:left w:type="dxa" w:w="120"/>
              <w:bottom w:type="dxa" w:w="80"/>
              <w:right w:type="dxa" w:w="120"/>
            </w:tcMar>
          </w:tcPr>
          <w:p>
            <w:r>
              <w:rPr>
                <w:b w:val="false"/>
                <w:bCs w:val="false"/>
                <w:color w:val="1A1A1A"/>
                <w:sz w:val="20"/>
                <w:szCs w:val="20"/>
              </w:rPr>
              <w:t xml:space="preserve">S$97,637 – S$202,785</w:t>
            </w:r>
          </w:p>
        </w:tc>
      </w:tr>
      <w:tr>
        <w:tc>
          <w:tcPr>
            <w:tcW w:type="dxa" w:w="2800"/>
            <w:shd w:fill="E6F5EE" w:val="clear"/>
            <w:tcMar>
              <w:top w:type="dxa" w:w="80"/>
              <w:left w:type="dxa" w:w="120"/>
              <w:bottom w:type="dxa" w:w="80"/>
              <w:right w:type="dxa" w:w="120"/>
            </w:tcMar>
          </w:tcPr>
          <w:p>
            <w:r>
              <w:rPr>
                <w:b/>
                <w:bCs/>
                <w:color w:val="0F6B49"/>
                <w:sz w:val="20"/>
                <w:szCs w:val="20"/>
              </w:rPr>
              <w:t xml:space="preserve">Payback period</w:t>
            </w:r>
          </w:p>
        </w:tc>
        <w:tc>
          <w:tcPr>
            <w:tcW w:type="dxa" w:w="5700"/>
            <w:tcMar>
              <w:top w:type="dxa" w:w="80"/>
              <w:left w:type="dxa" w:w="120"/>
              <w:bottom w:type="dxa" w:w="80"/>
              <w:right w:type="dxa" w:w="120"/>
            </w:tcMar>
          </w:tcPr>
          <w:p>
            <w:r>
              <w:rPr>
                <w:b w:val="false"/>
                <w:bCs w:val="false"/>
                <w:color w:val="1A1A1A"/>
                <w:sz w:val="20"/>
                <w:szCs w:val="20"/>
              </w:rPr>
              <w:t xml:space="preserve">5.0 years</w:t>
            </w:r>
          </w:p>
        </w:tc>
      </w:tr>
      <w:tr>
        <w:tc>
          <w:tcPr>
            <w:tcW w:type="dxa" w:w="2800"/>
            <w:shd w:fill="E6F5EE" w:val="clear"/>
            <w:tcMar>
              <w:top w:type="dxa" w:w="80"/>
              <w:left w:type="dxa" w:w="120"/>
              <w:bottom w:type="dxa" w:w="80"/>
              <w:right w:type="dxa" w:w="120"/>
            </w:tcMar>
          </w:tcPr>
          <w:p>
            <w:r>
              <w:rPr>
                <w:b/>
                <w:bCs/>
                <w:color w:val="0F6B49"/>
                <w:sz w:val="20"/>
                <w:szCs w:val="20"/>
              </w:rPr>
              <w:t xml:space="preserve">Applied energy-saving rate</w:t>
            </w:r>
          </w:p>
        </w:tc>
        <w:tc>
          <w:tcPr>
            <w:tcW w:type="dxa" w:w="5700"/>
            <w:tcMar>
              <w:top w:type="dxa" w:w="80"/>
              <w:left w:type="dxa" w:w="120"/>
              <w:bottom w:type="dxa" w:w="80"/>
              <w:right w:type="dxa" w:w="120"/>
            </w:tcMar>
          </w:tcPr>
          <w:p>
            <w:r>
              <w:rPr>
                <w:b w:val="false"/>
                <w:bCs w:val="false"/>
                <w:color w:val="1A1A1A"/>
                <w:sz w:val="20"/>
                <w:szCs w:val="20"/>
              </w:rPr>
              <w:t xml:space="preserve">18%</w:t>
            </w:r>
          </w:p>
        </w:tc>
      </w:tr>
      <w:tr>
        <w:tc>
          <w:tcPr>
            <w:tcW w:type="dxa" w:w="2800"/>
            <w:shd w:fill="E6F5EE" w:val="clear"/>
            <w:tcMar>
              <w:top w:type="dxa" w:w="80"/>
              <w:left w:type="dxa" w:w="120"/>
              <w:bottom w:type="dxa" w:w="80"/>
              <w:right w:type="dxa" w:w="120"/>
            </w:tcMar>
          </w:tcPr>
          <w:p>
            <w:r>
              <w:rPr>
                <w:b/>
                <w:bCs/>
                <w:color w:val="0F6B49"/>
                <w:sz w:val="20"/>
                <w:szCs w:val="20"/>
              </w:rPr>
              <w:t xml:space="preserve">Confidence level</w:t>
            </w:r>
          </w:p>
        </w:tc>
        <w:tc>
          <w:tcPr>
            <w:tcW w:type="dxa" w:w="5700"/>
            <w:tcMar>
              <w:top w:type="dxa" w:w="80"/>
              <w:left w:type="dxa" w:w="120"/>
              <w:bottom w:type="dxa" w:w="80"/>
              <w:right w:type="dxa" w:w="120"/>
            </w:tcMar>
          </w:tcPr>
          <w:p>
            <w:r>
              <w:rPr>
                <w:b w:val="false"/>
                <w:bCs w:val="false"/>
                <w:color w:val="1A1A1A"/>
                <w:sz w:val="20"/>
                <w:szCs w:val="20"/>
              </w:rPr>
              <w:t xml:space="preserve">Low (±35% range shown above for Low; see reasons below)</w:t>
            </w:r>
          </w:p>
        </w:tc>
      </w:tr>
    </w:tbl>
    <w:p>
      <w:pPr>
        <w:pStyle w:val="ListParagraph"/>
        <w:numPr>
          <w:ilvl w:val="0"/>
          <w:numId w:val="1"/>
        </w:numPr>
        <w:spacing w:after="60"/>
      </w:pPr>
      <w:r>
        <w:rPr>
          <w:color w:val="1A1A1A"/>
          <w:sz w:val="20"/>
          <w:szCs w:val="20"/>
        </w:rPr>
        <w:t xml:space="preserve">Scope 3 uses spend-based EEIO factors (±35%), not activity data</w:t>
      </w:r>
    </w:p>
    <w:p>
      <w:pPr>
        <w:spacing w:after="100" w:before="240"/>
      </w:pPr>
      <w:r>
        <w:rPr>
          <w:b/>
          <w:bCs/>
          <w:color w:val="0F6B49"/>
          <w:sz w:val="24"/>
          <w:szCs w:val="24"/>
        </w:rPr>
        <w:t xml:space="preserve">Target tracking</w:t>
      </w:r>
    </w:p>
    <w:p>
      <w:pPr>
        <w:spacing w:after="160"/>
      </w:pPr>
      <w:r>
        <w:rPr>
          <w:i w:val="false"/>
          <w:iCs w:val="false"/>
          <w:color w:val="1A1A1A"/>
          <w:sz w:val="21"/>
          <w:szCs w:val="21"/>
        </w:rPr>
        <w:t xml:space="preserve">Against an implied 20% reduction target by 2028, this plan is projected to avoid 15 tCO2e/year versus the 25 tCO2e/year required — currently NOT on track on energy efficiency alone.</w:t>
      </w:r>
    </w:p>
    <w:p>
      <w:pPr>
        <w:spacing w:after="100" w:before="240"/>
      </w:pPr>
      <w:r>
        <w:rPr>
          <w:b/>
          <w:bCs/>
          <w:color w:val="0F6B49"/>
          <w:sz w:val="24"/>
          <w:szCs w:val="24"/>
        </w:rPr>
        <w:t xml:space="preserve">What needs to be done</w:t>
      </w:r>
    </w:p>
    <w:p>
      <w:pPr>
        <w:pStyle w:val="ListParagraph"/>
        <w:numPr>
          <w:ilvl w:val="0"/>
          <w:numId w:val="1"/>
        </w:numPr>
        <w:spacing w:after="60"/>
      </w:pPr>
      <w:r>
        <w:rPr>
          <w:color w:val="1A1A1A"/>
          <w:sz w:val="20"/>
          <w:szCs w:val="20"/>
        </w:rPr>
        <w:t xml:space="preserve">EcoStruxure Building Operation (EBO) (primary)</w:t>
      </w:r>
    </w:p>
    <w:p>
      <w:pPr>
        <w:pStyle w:val="ListParagraph"/>
        <w:numPr>
          <w:ilvl w:val="0"/>
          <w:numId w:val="1"/>
        </w:numPr>
        <w:spacing w:after="60"/>
      </w:pPr>
      <w:r>
        <w:rPr>
          <w:color w:val="1A1A1A"/>
          <w:sz w:val="20"/>
          <w:szCs w:val="20"/>
        </w:rPr>
        <w:t xml:space="preserve">EcoStruxure Resource Advisor (add-on)</w:t>
      </w:r>
    </w:p>
    <w:p>
      <w:pPr>
        <w:pStyle w:val="ListParagraph"/>
        <w:numPr>
          <w:ilvl w:val="0"/>
          <w:numId w:val="1"/>
        </w:numPr>
        <w:spacing w:after="60"/>
      </w:pPr>
      <w:r>
        <w:rPr>
          <w:color w:val="1A1A1A"/>
          <w:sz w:val="20"/>
          <w:szCs w:val="20"/>
        </w:rPr>
        <w:t xml:space="preserve">EcoStruxure Power (PowerLogic metering) (add-on)</w:t>
      </w:r>
    </w:p>
    <w:p>
      <w:pPr>
        <w:pStyle w:val="ListParagraph"/>
        <w:numPr>
          <w:ilvl w:val="0"/>
          <w:numId w:val="1"/>
        </w:numPr>
        <w:spacing w:after="60"/>
      </w:pPr>
      <w:r>
        <w:rPr>
          <w:color w:val="1A1A1A"/>
          <w:sz w:val="20"/>
          <w:szCs w:val="20"/>
        </w:rPr>
        <w:t xml:space="preserve">EcoStruxure Resource Advisor (Scope 3 module) (scope3)</w:t>
      </w:r>
    </w:p>
    <w:p>
      <w:pPr>
        <w:spacing w:after="100" w:before="240"/>
      </w:pPr>
      <w:r>
        <w:rPr>
          <w:b/>
          <w:bCs/>
          <w:color w:val="0F6B49"/>
          <w:sz w:val="24"/>
          <w:szCs w:val="24"/>
        </w:rPr>
        <w:t xml:space="preserve">Regulatory / compliance flags</w:t>
      </w:r>
    </w:p>
    <w:p>
      <w:pPr>
        <w:pStyle w:val="ListParagraph"/>
        <w:numPr>
          <w:ilvl w:val="0"/>
          <w:numId w:val="1"/>
        </w:numPr>
        <w:spacing w:after="60"/>
      </w:pPr>
      <w:r>
        <w:rPr>
          <w:color w:val="1A1A1A"/>
          <w:sz w:val="20"/>
          <w:szCs w:val="20"/>
        </w:rPr>
        <w:t xml:space="preserve">green: Not a direct carbon taxpayer</w:t>
      </w:r>
    </w:p>
    <w:p>
      <w:pPr>
        <w:pStyle w:val="ListParagraph"/>
        <w:numPr>
          <w:ilvl w:val="0"/>
          <w:numId w:val="1"/>
        </w:numPr>
        <w:spacing w:after="60"/>
      </w:pPr>
      <w:r>
        <w:rPr>
          <w:color w:val="1A1A1A"/>
          <w:sz w:val="20"/>
          <w:szCs w:val="20"/>
        </w:rPr>
        <w:t xml:space="preserve">green: EEG grant eligible</w:t>
      </w:r>
    </w:p>
    <w:p>
      <w:pPr>
        <w:spacing w:after="100" w:before="240"/>
      </w:pPr>
      <w:r>
        <w:rPr>
          <w:b/>
          <w:bCs/>
          <w:color w:val="0F6B49"/>
          <w:sz w:val="24"/>
          <w:szCs w:val="24"/>
        </w:rPr>
        <w:t xml:space="preserve">Plain-English summary (as shown to the client)</w:t>
      </w:r>
    </w:p>
    <w:p>
      <w:pPr>
        <w:spacing w:after="160"/>
      </w:pPr>
      <w:r>
        <w:rPr>
          <w:i w:val="false"/>
          <w:iCs w:val="false"/>
          <w:color w:val="1A1A1A"/>
          <w:sz w:val="21"/>
          <w:szCs w:val="21"/>
        </w:rPr>
        <w:t xml:space="preserve">Nature's Basket Grocers Pte Ltd — a Retail business with 450m² across Singapore (including a 2-vehicle fleet) — emits approximately 123 tCO₂e/year across Scope 1 and 2. By deploying EcoStruxure Building Operation (EBO) and EcoStruxure Resource Advisor, you could save an estimated S$12,021 per year on energy costs. Singapore's carbon tax doesn't apply directly to your facility (that's reserved for large industrial emitters) — its cost is already embedded in the electricity tariff you pay today, so no separate carbon tax line is added here. If you expect tariffs to keep rising as the carbon price climbs toward 2030, model that explicitly with the tariff escalation slider. With your EEG grant applied, your payback period is approximately 5.0 years. Over 10 years, the cumulative financial benefit is estimated at S$97,637 to S$202,785. Your Scope 3 footprint of ~353 tCO₂e/year is identified but not included in the financial saving — EcoStruxure Resource Advisor can help you track and report this for SBTi and SGX sustainability reporting purposes.</w:t>
      </w:r>
    </w:p>
    <w:p>
      <w:pPr>
        <w:spacing w:after="100" w:before="240"/>
      </w:pPr>
      <w:r>
        <w:rPr>
          <w:b/>
          <w:bCs/>
          <w:color w:val="0F6B49"/>
          <w:sz w:val="24"/>
          <w:szCs w:val="24"/>
        </w:rPr>
        <w:t xml:space="preserve">Key caveats disclosed to the user</w:t>
      </w:r>
    </w:p>
    <w:p>
      <w:pPr>
        <w:pStyle w:val="ListParagraph"/>
        <w:numPr>
          <w:ilvl w:val="0"/>
          <w:numId w:val="1"/>
        </w:numPr>
        <w:spacing w:after="60"/>
      </w:pPr>
      <w:r>
        <w:rPr>
          <w:color w:val="1A1A1A"/>
          <w:sz w:val="20"/>
          <w:szCs w:val="20"/>
        </w:rPr>
        <w:t xml:space="preserve">No separate carbon tax saving is shown: Singapore's carbon tax applies only to ~50 large facilities with ≥25,000 tCO2e/year of direct (Scope 1) emissions. Your exposure is a small pass-through already reflected in the electricity tariff used for the energy saving above — showing it twice would double-count the same cost.</w:t>
      </w:r>
    </w:p>
    <w:p>
      <w:pPr>
        <w:pStyle w:val="ListParagraph"/>
        <w:numPr>
          <w:ilvl w:val="0"/>
          <w:numId w:val="1"/>
        </w:numPr>
        <w:spacing w:after="60"/>
      </w:pPr>
      <w:r>
        <w:rPr>
          <w:color w:val="1A1A1A"/>
          <w:sz w:val="20"/>
          <w:szCs w:val="20"/>
        </w:rPr>
        <w:t xml:space="preserve">Employee commuting uses placeholder per-mode emission factors pending DEFRA-sourced sign-off — see data/scope3_factors.json.</w:t>
      </w:r>
    </w:p>
    <w:p>
      <w:r>
        <w:br w:type="page"/>
      </w:r>
    </w:p>
    <w:p>
      <w:pPr>
        <w:pStyle w:val="Heading2"/>
        <w:spacing w:after="150" w:before="300"/>
      </w:pPr>
      <w:r>
        <w:t xml:space="preserve">Meridian Law Chambers (Professional Services SME)</w:t>
      </w:r>
    </w:p>
    <w:p>
      <w:pPr>
        <w:spacing w:after="100" w:before="240"/>
      </w:pPr>
      <w:r>
        <w:rPr>
          <w:b/>
          <w:bCs/>
          <w:color w:val="0F6B49"/>
          <w:sz w:val="24"/>
          <w:szCs w:val="24"/>
        </w:rPr>
        <w:t xml:space="preserve">Company profile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Sector</w:t>
            </w:r>
          </w:p>
        </w:tc>
        <w:tc>
          <w:tcPr>
            <w:tcW w:type="dxa" w:w="5700"/>
            <w:tcMar>
              <w:top w:type="dxa" w:w="80"/>
              <w:left w:type="dxa" w:w="120"/>
              <w:bottom w:type="dxa" w:w="80"/>
              <w:right w:type="dxa" w:w="120"/>
            </w:tcMar>
          </w:tcPr>
          <w:p>
            <w:r>
              <w:rPr>
                <w:b w:val="false"/>
                <w:bCs w:val="false"/>
                <w:color w:val="1A1A1A"/>
                <w:sz w:val="20"/>
                <w:szCs w:val="20"/>
              </w:rPr>
              <w:t xml:space="preserve">Office / Professional Services (law firm)</w:t>
            </w:r>
          </w:p>
        </w:tc>
      </w:tr>
      <w:tr>
        <w:tc>
          <w:tcPr>
            <w:tcW w:type="dxa" w:w="2800"/>
            <w:shd w:fill="E6F5EE" w:val="clear"/>
            <w:tcMar>
              <w:top w:type="dxa" w:w="80"/>
              <w:left w:type="dxa" w:w="120"/>
              <w:bottom w:type="dxa" w:w="80"/>
              <w:right w:type="dxa" w:w="120"/>
            </w:tcMar>
          </w:tcPr>
          <w:p>
            <w:r>
              <w:rPr>
                <w:b/>
                <w:bCs/>
                <w:color w:val="0F6B49"/>
                <w:sz w:val="20"/>
                <w:szCs w:val="20"/>
              </w:rPr>
              <w:t xml:space="preserve">Sites</w:t>
            </w:r>
          </w:p>
        </w:tc>
        <w:tc>
          <w:tcPr>
            <w:tcW w:type="dxa" w:w="5700"/>
            <w:tcMar>
              <w:top w:type="dxa" w:w="80"/>
              <w:left w:type="dxa" w:w="120"/>
              <w:bottom w:type="dxa" w:w="80"/>
              <w:right w:type="dxa" w:w="120"/>
            </w:tcMar>
          </w:tcPr>
          <w:p>
            <w:r>
              <w:rPr>
                <w:b w:val="false"/>
                <w:bCs w:val="false"/>
                <w:color w:val="1A1A1A"/>
                <w:sz w:val="20"/>
                <w:szCs w:val="20"/>
              </w:rPr>
              <w:t xml:space="preserve">1</w:t>
            </w:r>
          </w:p>
        </w:tc>
      </w:tr>
      <w:tr>
        <w:tc>
          <w:tcPr>
            <w:tcW w:type="dxa" w:w="2800"/>
            <w:shd w:fill="E6F5EE" w:val="clear"/>
            <w:tcMar>
              <w:top w:type="dxa" w:w="80"/>
              <w:left w:type="dxa" w:w="120"/>
              <w:bottom w:type="dxa" w:w="80"/>
              <w:right w:type="dxa" w:w="120"/>
            </w:tcMar>
          </w:tcPr>
          <w:p>
            <w:r>
              <w:rPr>
                <w:b/>
                <w:bCs/>
                <w:color w:val="0F6B49"/>
                <w:sz w:val="20"/>
                <w:szCs w:val="20"/>
              </w:rPr>
              <w:t xml:space="preserve">Floor area</w:t>
            </w:r>
          </w:p>
        </w:tc>
        <w:tc>
          <w:tcPr>
            <w:tcW w:type="dxa" w:w="5700"/>
            <w:tcMar>
              <w:top w:type="dxa" w:w="80"/>
              <w:left w:type="dxa" w:w="120"/>
              <w:bottom w:type="dxa" w:w="80"/>
              <w:right w:type="dxa" w:w="120"/>
            </w:tcMar>
          </w:tcPr>
          <w:p>
            <w:r>
              <w:rPr>
                <w:b w:val="false"/>
                <w:bCs w:val="false"/>
                <w:color w:val="1A1A1A"/>
                <w:sz w:val="20"/>
                <w:szCs w:val="20"/>
              </w:rPr>
              <w:t xml:space="preserve">800 m²</w:t>
            </w:r>
          </w:p>
        </w:tc>
      </w:tr>
      <w:tr>
        <w:tc>
          <w:tcPr>
            <w:tcW w:type="dxa" w:w="2800"/>
            <w:shd w:fill="E6F5EE" w:val="clear"/>
            <w:tcMar>
              <w:top w:type="dxa" w:w="80"/>
              <w:left w:type="dxa" w:w="120"/>
              <w:bottom w:type="dxa" w:w="80"/>
              <w:right w:type="dxa" w:w="120"/>
            </w:tcMar>
          </w:tcPr>
          <w:p>
            <w:r>
              <w:rPr>
                <w:b/>
                <w:bCs/>
                <w:color w:val="0F6B49"/>
                <w:sz w:val="20"/>
                <w:szCs w:val="20"/>
              </w:rPr>
              <w:t xml:space="preserve">Employees</w:t>
            </w:r>
          </w:p>
        </w:tc>
        <w:tc>
          <w:tcPr>
            <w:tcW w:type="dxa" w:w="5700"/>
            <w:tcMar>
              <w:top w:type="dxa" w:w="80"/>
              <w:left w:type="dxa" w:w="120"/>
              <w:bottom w:type="dxa" w:w="80"/>
              <w:right w:type="dxa" w:w="120"/>
            </w:tcMar>
          </w:tcPr>
          <w:p>
            <w:r>
              <w:rPr>
                <w:b w:val="false"/>
                <w:bCs w:val="false"/>
                <w:color w:val="1A1A1A"/>
                <w:sz w:val="20"/>
                <w:szCs w:val="20"/>
              </w:rPr>
              <w:t xml:space="preserve">45</w:t>
            </w:r>
          </w:p>
        </w:tc>
      </w:tr>
      <w:tr>
        <w:tc>
          <w:tcPr>
            <w:tcW w:type="dxa" w:w="2800"/>
            <w:shd w:fill="E6F5EE" w:val="clear"/>
            <w:tcMar>
              <w:top w:type="dxa" w:w="80"/>
              <w:left w:type="dxa" w:w="120"/>
              <w:bottom w:type="dxa" w:w="80"/>
              <w:right w:type="dxa" w:w="120"/>
            </w:tcMar>
          </w:tcPr>
          <w:p>
            <w:r>
              <w:rPr>
                <w:b/>
                <w:bCs/>
                <w:color w:val="0F6B49"/>
                <w:sz w:val="20"/>
                <w:szCs w:val="20"/>
              </w:rPr>
              <w:t xml:space="preserve">Annual revenue</w:t>
            </w:r>
          </w:p>
        </w:tc>
        <w:tc>
          <w:tcPr>
            <w:tcW w:type="dxa" w:w="5700"/>
            <w:tcMar>
              <w:top w:type="dxa" w:w="80"/>
              <w:left w:type="dxa" w:w="120"/>
              <w:bottom w:type="dxa" w:w="80"/>
              <w:right w:type="dxa" w:w="120"/>
            </w:tcMar>
          </w:tcPr>
          <w:p>
            <w:r>
              <w:rPr>
                <w:b w:val="false"/>
                <w:bCs w:val="false"/>
                <w:color w:val="1A1A1A"/>
                <w:sz w:val="20"/>
                <w:szCs w:val="20"/>
              </w:rPr>
              <w:t xml:space="preserve">S$12,000,000</w:t>
            </w:r>
          </w:p>
        </w:tc>
      </w:tr>
      <w:tr>
        <w:tc>
          <w:tcPr>
            <w:tcW w:type="dxa" w:w="2800"/>
            <w:shd w:fill="E6F5EE" w:val="clear"/>
            <w:tcMar>
              <w:top w:type="dxa" w:w="80"/>
              <w:left w:type="dxa" w:w="120"/>
              <w:bottom w:type="dxa" w:w="80"/>
              <w:right w:type="dxa" w:w="120"/>
            </w:tcMar>
          </w:tcPr>
          <w:p>
            <w:r>
              <w:rPr>
                <w:b/>
                <w:bCs/>
                <w:color w:val="0F6B49"/>
                <w:sz w:val="20"/>
                <w:szCs w:val="20"/>
              </w:rPr>
              <w:t xml:space="preserve">Electricity</w:t>
            </w:r>
          </w:p>
        </w:tc>
        <w:tc>
          <w:tcPr>
            <w:tcW w:type="dxa" w:w="5700"/>
            <w:tcMar>
              <w:top w:type="dxa" w:w="80"/>
              <w:left w:type="dxa" w:w="120"/>
              <w:bottom w:type="dxa" w:w="80"/>
              <w:right w:type="dxa" w:w="120"/>
            </w:tcMar>
          </w:tcPr>
          <w:p>
            <w:r>
              <w:rPr>
                <w:b w:val="false"/>
                <w:bCs w:val="false"/>
                <w:color w:val="1A1A1A"/>
                <w:sz w:val="20"/>
                <w:szCs w:val="20"/>
              </w:rPr>
              <w:t xml:space="preserve">22,000 kWh/month</w:t>
            </w:r>
          </w:p>
        </w:tc>
      </w:tr>
      <w:tr>
        <w:tc>
          <w:tcPr>
            <w:tcW w:type="dxa" w:w="2800"/>
            <w:shd w:fill="E6F5EE" w:val="clear"/>
            <w:tcMar>
              <w:top w:type="dxa" w:w="80"/>
              <w:left w:type="dxa" w:w="120"/>
              <w:bottom w:type="dxa" w:w="80"/>
              <w:right w:type="dxa" w:w="120"/>
            </w:tcMar>
          </w:tcPr>
          <w:p>
            <w:r>
              <w:rPr>
                <w:b/>
                <w:bCs/>
                <w:color w:val="0F6B49"/>
                <w:sz w:val="20"/>
                <w:szCs w:val="20"/>
              </w:rPr>
              <w:t xml:space="preserve">Fleet</w:t>
            </w:r>
          </w:p>
        </w:tc>
        <w:tc>
          <w:tcPr>
            <w:tcW w:type="dxa" w:w="5700"/>
            <w:tcMar>
              <w:top w:type="dxa" w:w="80"/>
              <w:left w:type="dxa" w:w="120"/>
              <w:bottom w:type="dxa" w:w="80"/>
              <w:right w:type="dxa" w:w="120"/>
            </w:tcMar>
          </w:tcPr>
          <w:p>
            <w:r>
              <w:rPr>
                <w:b w:val="false"/>
                <w:bCs w:val="false"/>
                <w:color w:val="1A1A1A"/>
                <w:sz w:val="20"/>
                <w:szCs w:val="20"/>
              </w:rPr>
              <w:t xml:space="preserve">None</w:t>
            </w:r>
          </w:p>
        </w:tc>
      </w:tr>
      <w:tr>
        <w:tc>
          <w:tcPr>
            <w:tcW w:type="dxa" w:w="2800"/>
            <w:shd w:fill="E6F5EE" w:val="clear"/>
            <w:tcMar>
              <w:top w:type="dxa" w:w="80"/>
              <w:left w:type="dxa" w:w="120"/>
              <w:bottom w:type="dxa" w:w="80"/>
              <w:right w:type="dxa" w:w="120"/>
            </w:tcMar>
          </w:tcPr>
          <w:p>
            <w:r>
              <w:rPr>
                <w:b/>
                <w:bCs/>
                <w:color w:val="0F6B49"/>
                <w:sz w:val="20"/>
                <w:szCs w:val="20"/>
              </w:rPr>
              <w:t xml:space="preserve">Refrigerants</w:t>
            </w:r>
          </w:p>
        </w:tc>
        <w:tc>
          <w:tcPr>
            <w:tcW w:type="dxa" w:w="5700"/>
            <w:tcMar>
              <w:top w:type="dxa" w:w="80"/>
              <w:left w:type="dxa" w:w="120"/>
              <w:bottom w:type="dxa" w:w="80"/>
              <w:right w:type="dxa" w:w="120"/>
            </w:tcMar>
          </w:tcPr>
          <w:p>
            <w:r>
              <w:rPr>
                <w:b w:val="false"/>
                <w:bCs w:val="false"/>
                <w:color w:val="1A1A1A"/>
                <w:sz w:val="20"/>
                <w:szCs w:val="20"/>
              </w:rPr>
              <w:t xml:space="preserve">R-32, 8 kg/year top-up (split AC units)</w:t>
            </w:r>
          </w:p>
        </w:tc>
      </w:tr>
      <w:tr>
        <w:tc>
          <w:tcPr>
            <w:tcW w:type="dxa" w:w="2800"/>
            <w:shd w:fill="E6F5EE" w:val="clear"/>
            <w:tcMar>
              <w:top w:type="dxa" w:w="80"/>
              <w:left w:type="dxa" w:w="120"/>
              <w:bottom w:type="dxa" w:w="80"/>
              <w:right w:type="dxa" w:w="120"/>
            </w:tcMar>
          </w:tcPr>
          <w:p>
            <w:r>
              <w:rPr>
                <w:b/>
                <w:bCs/>
                <w:color w:val="0F6B49"/>
                <w:sz w:val="20"/>
                <w:szCs w:val="20"/>
              </w:rPr>
              <w:t xml:space="preserve">Already deployed</w:t>
            </w:r>
          </w:p>
        </w:tc>
        <w:tc>
          <w:tcPr>
            <w:tcW w:type="dxa" w:w="5700"/>
            <w:tcMar>
              <w:top w:type="dxa" w:w="80"/>
              <w:left w:type="dxa" w:w="120"/>
              <w:bottom w:type="dxa" w:w="80"/>
              <w:right w:type="dxa" w:w="120"/>
            </w:tcMar>
          </w:tcPr>
          <w:p>
            <w:r>
              <w:rPr>
                <w:b w:val="false"/>
                <w:bCs w:val="false"/>
                <w:color w:val="1A1A1A"/>
                <w:sz w:val="20"/>
                <w:szCs w:val="20"/>
              </w:rPr>
              <w:t xml:space="preserve">LED lighting</w:t>
            </w:r>
          </w:p>
        </w:tc>
      </w:tr>
      <w:tr>
        <w:tc>
          <w:tcPr>
            <w:tcW w:type="dxa" w:w="2800"/>
            <w:shd w:fill="E6F5EE" w:val="clear"/>
            <w:tcMar>
              <w:top w:type="dxa" w:w="80"/>
              <w:left w:type="dxa" w:w="120"/>
              <w:bottom w:type="dxa" w:w="80"/>
              <w:right w:type="dxa" w:w="120"/>
            </w:tcMar>
          </w:tcPr>
          <w:p>
            <w:r>
              <w:rPr>
                <w:b/>
                <w:bCs/>
                <w:color w:val="0F6B49"/>
                <w:sz w:val="20"/>
                <w:szCs w:val="20"/>
              </w:rPr>
              <w:t xml:space="preserve">Est. investment</w:t>
            </w:r>
          </w:p>
        </w:tc>
        <w:tc>
          <w:tcPr>
            <w:tcW w:type="dxa" w:w="5700"/>
            <w:tcMar>
              <w:top w:type="dxa" w:w="80"/>
              <w:left w:type="dxa" w:w="120"/>
              <w:bottom w:type="dxa" w:w="80"/>
              <w:right w:type="dxa" w:w="120"/>
            </w:tcMar>
          </w:tcPr>
          <w:p>
            <w:r>
              <w:rPr>
                <w:b w:val="false"/>
                <w:bCs w:val="false"/>
                <w:color w:val="1A1A1A"/>
                <w:sz w:val="20"/>
                <w:szCs w:val="20"/>
              </w:rPr>
              <w:t xml:space="preserve">S$60,000</w:t>
            </w:r>
          </w:p>
        </w:tc>
      </w:tr>
    </w:tbl>
    <w:p>
      <w:pPr>
        <w:spacing w:after="100" w:before="240"/>
      </w:pPr>
      <w:r>
        <w:rPr>
          <w:b/>
          <w:bCs/>
          <w:color w:val="0F6B49"/>
          <w:sz w:val="24"/>
          <w:szCs w:val="24"/>
        </w:rPr>
        <w:t xml:space="preserve">Current situation — what they're paying / emitting today</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Current annual carbon cost</w:t>
            </w:r>
          </w:p>
        </w:tc>
        <w:tc>
          <w:tcPr>
            <w:tcW w:type="dxa" w:w="5700"/>
            <w:tcMar>
              <w:top w:type="dxa" w:w="80"/>
              <w:left w:type="dxa" w:w="120"/>
              <w:bottom w:type="dxa" w:w="80"/>
              <w:right w:type="dxa" w:w="120"/>
            </w:tcMar>
          </w:tcPr>
          <w:p>
            <w:r>
              <w:rPr>
                <w:b w:val="false"/>
                <w:bCs w:val="false"/>
                <w:color w:val="1A1A1A"/>
                <w:sz w:val="20"/>
                <w:szCs w:val="20"/>
              </w:rPr>
              <w:t xml:space="preserve">S$84,242</w:t>
            </w:r>
          </w:p>
        </w:tc>
      </w:tr>
      <w:tr>
        <w:tc>
          <w:tcPr>
            <w:tcW w:type="dxa" w:w="2800"/>
            <w:shd w:fill="E6F5EE" w:val="clear"/>
            <w:tcMar>
              <w:top w:type="dxa" w:w="80"/>
              <w:left w:type="dxa" w:w="120"/>
              <w:bottom w:type="dxa" w:w="80"/>
              <w:right w:type="dxa" w:w="120"/>
            </w:tcMar>
          </w:tcPr>
          <w:p>
            <w:r>
              <w:rPr>
                <w:b/>
                <w:bCs/>
                <w:color w:val="0F6B49"/>
                <w:sz w:val="20"/>
                <w:szCs w:val="20"/>
              </w:rPr>
              <w:t xml:space="preserve">Scope 1 (direct — fuel, refrigerants, gas)</w:t>
            </w:r>
          </w:p>
        </w:tc>
        <w:tc>
          <w:tcPr>
            <w:tcW w:type="dxa" w:w="5700"/>
            <w:tcMar>
              <w:top w:type="dxa" w:w="80"/>
              <w:left w:type="dxa" w:w="120"/>
              <w:bottom w:type="dxa" w:w="80"/>
              <w:right w:type="dxa" w:w="120"/>
            </w:tcMar>
          </w:tcPr>
          <w:p>
            <w:r>
              <w:rPr>
                <w:b w:val="false"/>
                <w:bCs w:val="false"/>
                <w:color w:val="1A1A1A"/>
                <w:sz w:val="20"/>
                <w:szCs w:val="20"/>
              </w:rPr>
              <w:t xml:space="preserve">5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2 (purchased electricity)</w:t>
            </w:r>
          </w:p>
        </w:tc>
        <w:tc>
          <w:tcPr>
            <w:tcW w:type="dxa" w:w="5700"/>
            <w:tcMar>
              <w:top w:type="dxa" w:w="80"/>
              <w:left w:type="dxa" w:w="120"/>
              <w:bottom w:type="dxa" w:w="80"/>
              <w:right w:type="dxa" w:w="120"/>
            </w:tcMar>
          </w:tcPr>
          <w:p>
            <w:r>
              <w:rPr>
                <w:b w:val="false"/>
                <w:bCs w:val="false"/>
                <w:color w:val="1A1A1A"/>
                <w:sz w:val="20"/>
                <w:szCs w:val="20"/>
              </w:rPr>
              <w:t xml:space="preserve">106 tCO2e</w:t>
            </w:r>
          </w:p>
        </w:tc>
      </w:tr>
      <w:tr>
        <w:tc>
          <w:tcPr>
            <w:tcW w:type="dxa" w:w="2800"/>
            <w:shd w:fill="E6F5EE" w:val="clear"/>
            <w:tcMar>
              <w:top w:type="dxa" w:w="80"/>
              <w:left w:type="dxa" w:w="120"/>
              <w:bottom w:type="dxa" w:w="80"/>
              <w:right w:type="dxa" w:w="120"/>
            </w:tcMar>
          </w:tcPr>
          <w:p>
            <w:r>
              <w:rPr>
                <w:b/>
                <w:bCs/>
                <w:color w:val="0F6B49"/>
                <w:sz w:val="20"/>
                <w:szCs w:val="20"/>
              </w:rPr>
              <w:t xml:space="preserve">Total Scope 1+2</w:t>
            </w:r>
          </w:p>
        </w:tc>
        <w:tc>
          <w:tcPr>
            <w:tcW w:type="dxa" w:w="5700"/>
            <w:tcMar>
              <w:top w:type="dxa" w:w="80"/>
              <w:left w:type="dxa" w:w="120"/>
              <w:bottom w:type="dxa" w:w="80"/>
              <w:right w:type="dxa" w:w="120"/>
            </w:tcMar>
          </w:tcPr>
          <w:p>
            <w:r>
              <w:rPr>
                <w:b w:val="false"/>
                <w:bCs w:val="false"/>
                <w:color w:val="1A1A1A"/>
                <w:sz w:val="20"/>
                <w:szCs w:val="20"/>
              </w:rPr>
              <w:t xml:space="preserve">112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3 (value chain, context only)</w:t>
            </w:r>
          </w:p>
        </w:tc>
        <w:tc>
          <w:tcPr>
            <w:tcW w:type="dxa" w:w="5700"/>
            <w:tcMar>
              <w:top w:type="dxa" w:w="80"/>
              <w:left w:type="dxa" w:w="120"/>
              <w:bottom w:type="dxa" w:w="80"/>
              <w:right w:type="dxa" w:w="120"/>
            </w:tcMar>
          </w:tcPr>
          <w:p>
            <w:r>
              <w:rPr>
                <w:b w:val="false"/>
                <w:bCs w:val="false"/>
                <w:color w:val="1A1A1A"/>
                <w:sz w:val="20"/>
                <w:szCs w:val="20"/>
              </w:rPr>
              <w:t xml:space="preserve">98 tCO2e</w:t>
            </w:r>
          </w:p>
        </w:tc>
      </w:tr>
      <w:tr>
        <w:tc>
          <w:tcPr>
            <w:tcW w:type="dxa" w:w="2800"/>
            <w:shd w:fill="E6F5EE" w:val="clear"/>
            <w:tcMar>
              <w:top w:type="dxa" w:w="80"/>
              <w:left w:type="dxa" w:w="120"/>
              <w:bottom w:type="dxa" w:w="80"/>
              <w:right w:type="dxa" w:w="120"/>
            </w:tcMar>
          </w:tcPr>
          <w:p>
            <w:r>
              <w:rPr>
                <w:b/>
                <w:bCs/>
                <w:color w:val="0F6B49"/>
                <w:sz w:val="20"/>
                <w:szCs w:val="20"/>
              </w:rPr>
              <w:t xml:space="preserve">Sector position</w:t>
            </w:r>
          </w:p>
        </w:tc>
        <w:tc>
          <w:tcPr>
            <w:tcW w:type="dxa" w:w="5700"/>
            <w:tcMar>
              <w:top w:type="dxa" w:w="80"/>
              <w:left w:type="dxa" w:w="120"/>
              <w:bottom w:type="dxa" w:w="80"/>
              <w:right w:type="dxa" w:w="120"/>
            </w:tcMar>
          </w:tcPr>
          <w:p>
            <w:r>
              <w:rPr>
                <w:b w:val="false"/>
                <w:bCs w:val="false"/>
                <w:color w:val="1A1A1A"/>
                <w:sz w:val="20"/>
                <w:szCs w:val="20"/>
              </w:rPr>
              <w:t xml:space="preserve">Worst quartile of sector — high savings potential</w:t>
            </w:r>
          </w:p>
        </w:tc>
      </w:tr>
      <w:tr>
        <w:tc>
          <w:tcPr>
            <w:tcW w:type="dxa" w:w="2800"/>
            <w:shd w:fill="E6F5EE" w:val="clear"/>
            <w:tcMar>
              <w:top w:type="dxa" w:w="80"/>
              <w:left w:type="dxa" w:w="120"/>
              <w:bottom w:type="dxa" w:w="80"/>
              <w:right w:type="dxa" w:w="120"/>
            </w:tcMar>
          </w:tcPr>
          <w:p>
            <w:r>
              <w:rPr>
                <w:b/>
                <w:bCs/>
                <w:color w:val="0F6B49"/>
                <w:sz w:val="20"/>
                <w:szCs w:val="20"/>
              </w:rPr>
              <w:t xml:space="preserve">Direct carbon taxpayer?</w:t>
            </w:r>
          </w:p>
        </w:tc>
        <w:tc>
          <w:tcPr>
            <w:tcW w:type="dxa" w:w="5700"/>
            <w:tcMar>
              <w:top w:type="dxa" w:w="80"/>
              <w:left w:type="dxa" w:w="120"/>
              <w:bottom w:type="dxa" w:w="80"/>
              <w:right w:type="dxa" w:w="120"/>
            </w:tcMar>
          </w:tcPr>
          <w:p>
            <w:r>
              <w:rPr>
                <w:b w:val="false"/>
                <w:bCs w:val="false"/>
                <w:color w:val="1A1A1A"/>
                <w:sz w:val="20"/>
                <w:szCs w:val="20"/>
              </w:rPr>
              <w:t xml:space="preserve">No — pass-through only, already in tariff</w:t>
            </w:r>
          </w:p>
        </w:tc>
      </w:tr>
    </w:tbl>
    <w:p>
      <w:pPr>
        <w:spacing w:after="100" w:before="240"/>
      </w:pPr>
      <w:r>
        <w:rPr>
          <w:b/>
          <w:bCs/>
          <w:color w:val="0F6B49"/>
          <w:sz w:val="24"/>
          <w:szCs w:val="24"/>
        </w:rPr>
        <w:t xml:space="preserve">Potential — what they could save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Estimated Year-1 saving</w:t>
            </w:r>
          </w:p>
        </w:tc>
        <w:tc>
          <w:tcPr>
            <w:tcW w:type="dxa" w:w="5700"/>
            <w:tcMar>
              <w:top w:type="dxa" w:w="80"/>
              <w:left w:type="dxa" w:w="120"/>
              <w:bottom w:type="dxa" w:w="80"/>
              <w:right w:type="dxa" w:w="120"/>
            </w:tcMar>
          </w:tcPr>
          <w:p>
            <w:r>
              <w:rPr>
                <w:b w:val="false"/>
                <w:bCs w:val="false"/>
                <w:color w:val="1A1A1A"/>
                <w:sz w:val="20"/>
                <w:szCs w:val="20"/>
              </w:rPr>
              <w:t xml:space="preserve">S$33,189 – S$68,932</w:t>
            </w:r>
          </w:p>
        </w:tc>
      </w:tr>
      <w:tr>
        <w:tc>
          <w:tcPr>
            <w:tcW w:type="dxa" w:w="2800"/>
            <w:shd w:fill="E6F5EE" w:val="clear"/>
            <w:tcMar>
              <w:top w:type="dxa" w:w="80"/>
              <w:left w:type="dxa" w:w="120"/>
              <w:bottom w:type="dxa" w:w="80"/>
              <w:right w:type="dxa" w:w="120"/>
            </w:tcMar>
          </w:tcPr>
          <w:p>
            <w:r>
              <w:rPr>
                <w:b/>
                <w:bCs/>
                <w:color w:val="0F6B49"/>
                <w:sz w:val="20"/>
                <w:szCs w:val="20"/>
              </w:rPr>
              <w:t xml:space="preserve">Estimated 10-year cumulative saving</w:t>
            </w:r>
          </w:p>
        </w:tc>
        <w:tc>
          <w:tcPr>
            <w:tcW w:type="dxa" w:w="5700"/>
            <w:tcMar>
              <w:top w:type="dxa" w:w="80"/>
              <w:left w:type="dxa" w:w="120"/>
              <w:bottom w:type="dxa" w:w="80"/>
              <w:right w:type="dxa" w:w="120"/>
            </w:tcMar>
          </w:tcPr>
          <w:p>
            <w:r>
              <w:rPr>
                <w:b w:val="false"/>
                <w:bCs w:val="false"/>
                <w:color w:val="1A1A1A"/>
                <w:sz w:val="20"/>
                <w:szCs w:val="20"/>
              </w:rPr>
              <w:t xml:space="preserve">S$156,394 – S$324,818</w:t>
            </w:r>
          </w:p>
        </w:tc>
      </w:tr>
      <w:tr>
        <w:tc>
          <w:tcPr>
            <w:tcW w:type="dxa" w:w="2800"/>
            <w:shd w:fill="E6F5EE" w:val="clear"/>
            <w:tcMar>
              <w:top w:type="dxa" w:w="80"/>
              <w:left w:type="dxa" w:w="120"/>
              <w:bottom w:type="dxa" w:w="80"/>
              <w:right w:type="dxa" w:w="120"/>
            </w:tcMar>
          </w:tcPr>
          <w:p>
            <w:r>
              <w:rPr>
                <w:b/>
                <w:bCs/>
                <w:color w:val="0F6B49"/>
                <w:sz w:val="20"/>
                <w:szCs w:val="20"/>
              </w:rPr>
              <w:t xml:space="preserve">Payback period</w:t>
            </w:r>
          </w:p>
        </w:tc>
        <w:tc>
          <w:tcPr>
            <w:tcW w:type="dxa" w:w="5700"/>
            <w:tcMar>
              <w:top w:type="dxa" w:w="80"/>
              <w:left w:type="dxa" w:w="120"/>
              <w:bottom w:type="dxa" w:w="80"/>
              <w:right w:type="dxa" w:w="120"/>
            </w:tcMar>
          </w:tcPr>
          <w:p>
            <w:r>
              <w:rPr>
                <w:b w:val="false"/>
                <w:bCs w:val="false"/>
                <w:color w:val="1A1A1A"/>
                <w:sz w:val="20"/>
                <w:szCs w:val="20"/>
              </w:rPr>
              <w:t xml:space="preserve">0.6 years</w:t>
            </w:r>
          </w:p>
        </w:tc>
      </w:tr>
      <w:tr>
        <w:tc>
          <w:tcPr>
            <w:tcW w:type="dxa" w:w="2800"/>
            <w:shd w:fill="E6F5EE" w:val="clear"/>
            <w:tcMar>
              <w:top w:type="dxa" w:w="80"/>
              <w:left w:type="dxa" w:w="120"/>
              <w:bottom w:type="dxa" w:w="80"/>
              <w:right w:type="dxa" w:w="120"/>
            </w:tcMar>
          </w:tcPr>
          <w:p>
            <w:r>
              <w:rPr>
                <w:b/>
                <w:bCs/>
                <w:color w:val="0F6B49"/>
                <w:sz w:val="20"/>
                <w:szCs w:val="20"/>
              </w:rPr>
              <w:t xml:space="preserve">Applied energy-saving rate</w:t>
            </w:r>
          </w:p>
        </w:tc>
        <w:tc>
          <w:tcPr>
            <w:tcW w:type="dxa" w:w="5700"/>
            <w:tcMar>
              <w:top w:type="dxa" w:w="80"/>
              <w:left w:type="dxa" w:w="120"/>
              <w:bottom w:type="dxa" w:w="80"/>
              <w:right w:type="dxa" w:w="120"/>
            </w:tcMar>
          </w:tcPr>
          <w:p>
            <w:r>
              <w:rPr>
                <w:b w:val="false"/>
                <w:bCs w:val="false"/>
                <w:color w:val="1A1A1A"/>
                <w:sz w:val="20"/>
                <w:szCs w:val="20"/>
              </w:rPr>
              <w:t xml:space="preserve">25%</w:t>
            </w:r>
          </w:p>
        </w:tc>
      </w:tr>
      <w:tr>
        <w:tc>
          <w:tcPr>
            <w:tcW w:type="dxa" w:w="2800"/>
            <w:shd w:fill="E6F5EE" w:val="clear"/>
            <w:tcMar>
              <w:top w:type="dxa" w:w="80"/>
              <w:left w:type="dxa" w:w="120"/>
              <w:bottom w:type="dxa" w:w="80"/>
              <w:right w:type="dxa" w:w="120"/>
            </w:tcMar>
          </w:tcPr>
          <w:p>
            <w:r>
              <w:rPr>
                <w:b/>
                <w:bCs/>
                <w:color w:val="0F6B49"/>
                <w:sz w:val="20"/>
                <w:szCs w:val="20"/>
              </w:rPr>
              <w:t xml:space="preserve">Confidence level</w:t>
            </w:r>
          </w:p>
        </w:tc>
        <w:tc>
          <w:tcPr>
            <w:tcW w:type="dxa" w:w="5700"/>
            <w:tcMar>
              <w:top w:type="dxa" w:w="80"/>
              <w:left w:type="dxa" w:w="120"/>
              <w:bottom w:type="dxa" w:w="80"/>
              <w:right w:type="dxa" w:w="120"/>
            </w:tcMar>
          </w:tcPr>
          <w:p>
            <w:r>
              <w:rPr>
                <w:b w:val="false"/>
                <w:bCs w:val="false"/>
                <w:color w:val="1A1A1A"/>
                <w:sz w:val="20"/>
                <w:szCs w:val="20"/>
              </w:rPr>
              <w:t xml:space="preserve">Low (±35% range shown above for Low; see reasons below)</w:t>
            </w:r>
          </w:p>
        </w:tc>
      </w:tr>
    </w:tbl>
    <w:p>
      <w:pPr>
        <w:pStyle w:val="ListParagraph"/>
        <w:numPr>
          <w:ilvl w:val="0"/>
          <w:numId w:val="1"/>
        </w:numPr>
        <w:spacing w:after="60"/>
      </w:pPr>
      <w:r>
        <w:rPr>
          <w:color w:val="1A1A1A"/>
          <w:sz w:val="20"/>
          <w:szCs w:val="20"/>
        </w:rPr>
        <w:t xml:space="preserve">Scope 3 uses spend-based EEIO factors (±35%), not activity data</w:t>
      </w:r>
    </w:p>
    <w:p>
      <w:pPr>
        <w:spacing w:after="100" w:before="240"/>
      </w:pPr>
      <w:r>
        <w:rPr>
          <w:b/>
          <w:bCs/>
          <w:color w:val="0F6B49"/>
          <w:sz w:val="24"/>
          <w:szCs w:val="24"/>
        </w:rPr>
        <w:t xml:space="preserve">What needs to be done</w:t>
      </w:r>
    </w:p>
    <w:p>
      <w:pPr>
        <w:pStyle w:val="ListParagraph"/>
        <w:numPr>
          <w:ilvl w:val="0"/>
          <w:numId w:val="1"/>
        </w:numPr>
        <w:spacing w:after="60"/>
      </w:pPr>
      <w:r>
        <w:rPr>
          <w:color w:val="1A1A1A"/>
          <w:sz w:val="20"/>
          <w:szCs w:val="20"/>
        </w:rPr>
        <w:t xml:space="preserve">EcoStruxure Building Operation (EBO) (primary)</w:t>
      </w:r>
    </w:p>
    <w:p>
      <w:pPr>
        <w:pStyle w:val="ListParagraph"/>
        <w:numPr>
          <w:ilvl w:val="0"/>
          <w:numId w:val="1"/>
        </w:numPr>
        <w:spacing w:after="60"/>
      </w:pPr>
      <w:r>
        <w:rPr>
          <w:color w:val="1A1A1A"/>
          <w:sz w:val="20"/>
          <w:szCs w:val="20"/>
        </w:rPr>
        <w:t xml:space="preserve">EcoStruxure Resource Advisor (add-on)</w:t>
      </w:r>
    </w:p>
    <w:p>
      <w:pPr>
        <w:pStyle w:val="ListParagraph"/>
        <w:numPr>
          <w:ilvl w:val="0"/>
          <w:numId w:val="1"/>
        </w:numPr>
        <w:spacing w:after="60"/>
      </w:pPr>
      <w:r>
        <w:rPr>
          <w:color w:val="1A1A1A"/>
          <w:sz w:val="20"/>
          <w:szCs w:val="20"/>
        </w:rPr>
        <w:t xml:space="preserve">EcoStruxure Power (PowerLogic metering) (add-on)</w:t>
      </w:r>
    </w:p>
    <w:p>
      <w:pPr>
        <w:pStyle w:val="ListParagraph"/>
        <w:numPr>
          <w:ilvl w:val="0"/>
          <w:numId w:val="1"/>
        </w:numPr>
        <w:spacing w:after="60"/>
      </w:pPr>
      <w:r>
        <w:rPr>
          <w:color w:val="1A1A1A"/>
          <w:sz w:val="20"/>
          <w:szCs w:val="20"/>
        </w:rPr>
        <w:t xml:space="preserve">EcoStruxure Resource Advisor (Scope 3 module) (scope3)</w:t>
      </w:r>
    </w:p>
    <w:p>
      <w:pPr>
        <w:spacing w:after="100" w:before="240"/>
      </w:pPr>
      <w:r>
        <w:rPr>
          <w:b/>
          <w:bCs/>
          <w:color w:val="0F6B49"/>
          <w:sz w:val="24"/>
          <w:szCs w:val="24"/>
        </w:rPr>
        <w:t xml:space="preserve">Regulatory / compliance flags</w:t>
      </w:r>
    </w:p>
    <w:p>
      <w:pPr>
        <w:pStyle w:val="ListParagraph"/>
        <w:numPr>
          <w:ilvl w:val="0"/>
          <w:numId w:val="1"/>
        </w:numPr>
        <w:spacing w:after="60"/>
      </w:pPr>
      <w:r>
        <w:rPr>
          <w:color w:val="1A1A1A"/>
          <w:sz w:val="20"/>
          <w:szCs w:val="20"/>
        </w:rPr>
        <w:t xml:space="preserve">green: Not a direct carbon taxpayer</w:t>
      </w:r>
    </w:p>
    <w:p>
      <w:pPr>
        <w:pStyle w:val="ListParagraph"/>
        <w:numPr>
          <w:ilvl w:val="0"/>
          <w:numId w:val="1"/>
        </w:numPr>
        <w:spacing w:after="60"/>
      </w:pPr>
      <w:r>
        <w:rPr>
          <w:color w:val="1A1A1A"/>
          <w:sz w:val="20"/>
          <w:szCs w:val="20"/>
        </w:rPr>
        <w:t xml:space="preserve">green: EEG grant eligible</w:t>
      </w:r>
    </w:p>
    <w:p>
      <w:pPr>
        <w:spacing w:after="100" w:before="240"/>
      </w:pPr>
      <w:r>
        <w:rPr>
          <w:b/>
          <w:bCs/>
          <w:color w:val="0F6B49"/>
          <w:sz w:val="24"/>
          <w:szCs w:val="24"/>
        </w:rPr>
        <w:t xml:space="preserve">Plain-English summary (as shown to the client)</w:t>
      </w:r>
    </w:p>
    <w:p>
      <w:pPr>
        <w:spacing w:after="160"/>
      </w:pPr>
      <w:r>
        <w:rPr>
          <w:i w:val="false"/>
          <w:iCs w:val="false"/>
          <w:color w:val="1A1A1A"/>
          <w:sz w:val="21"/>
          <w:szCs w:val="21"/>
        </w:rPr>
        <w:t xml:space="preserve">Meridian Law Chambers Pte Ltd — a Office/Professional Services business with 800m² across Singapore — emits approximately 112 tCO₂e/year across Scope 1 and 2. By deploying EcoStruxure Building Operation (EBO) and EcoStruxure Resource Advisor, you could save an estimated S$21,061 per year on energy costs. Singapore's carbon tax doesn't apply directly to your facility (that's reserved for large industrial emitters) — its cost is already embedded in the electricity tariff you pay today, so no separate carbon tax line is added here. If you expect tariffs to keep rising as the carbon price climbs toward 2030, model that explicitly with the tariff escalation slider. With your EEG grant applied, your payback period is approximately 0.6 years. Over 10 years, the cumulative financial benefit is estimated at S$156,394 to S$324,818. Your Scope 3 footprint of ~98 tCO₂e/year is identified but not included in the financial saving — EcoStruxure Resource Advisor can help you track and report this for SBTi and SGX sustainability reporting purposes.</w:t>
      </w:r>
    </w:p>
    <w:p>
      <w:pPr>
        <w:spacing w:after="100" w:before="240"/>
      </w:pPr>
      <w:r>
        <w:rPr>
          <w:b/>
          <w:bCs/>
          <w:color w:val="0F6B49"/>
          <w:sz w:val="24"/>
          <w:szCs w:val="24"/>
        </w:rPr>
        <w:t xml:space="preserve">Key caveats disclosed to the user</w:t>
      </w:r>
    </w:p>
    <w:p>
      <w:pPr>
        <w:pStyle w:val="ListParagraph"/>
        <w:numPr>
          <w:ilvl w:val="0"/>
          <w:numId w:val="1"/>
        </w:numPr>
        <w:spacing w:after="60"/>
      </w:pPr>
      <w:r>
        <w:rPr>
          <w:color w:val="1A1A1A"/>
          <w:sz w:val="20"/>
          <w:szCs w:val="20"/>
        </w:rPr>
        <w:t xml:space="preserve">No separate carbon tax saving is shown: Singapore's carbon tax applies only to ~50 large facilities with ≥25,000 tCO2e/year of direct (Scope 1) emissions. Your exposure is a small pass-through already reflected in the electricity tariff used for the energy saving above — showing it twice would double-count the same cost.</w:t>
      </w:r>
    </w:p>
    <w:p>
      <w:pPr>
        <w:pStyle w:val="ListParagraph"/>
        <w:numPr>
          <w:ilvl w:val="0"/>
          <w:numId w:val="1"/>
        </w:numPr>
        <w:spacing w:after="60"/>
      </w:pPr>
      <w:r>
        <w:rPr>
          <w:color w:val="1A1A1A"/>
          <w:sz w:val="20"/>
          <w:szCs w:val="20"/>
        </w:rPr>
        <w:t xml:space="preserve">Employee commuting uses placeholder per-mode emission factors pending DEFRA-sourced sign-off — see data/scope3_factors.json.</w:t>
      </w:r>
    </w:p>
    <w:p>
      <w:pPr>
        <w:pStyle w:val="ListParagraph"/>
        <w:numPr>
          <w:ilvl w:val="0"/>
          <w:numId w:val="1"/>
        </w:numPr>
        <w:spacing w:after="60"/>
      </w:pPr>
      <w:r>
        <w:rPr>
          <w:color w:val="1A1A1A"/>
          <w:sz w:val="20"/>
          <w:szCs w:val="20"/>
        </w:rPr>
        <w:t xml:space="preserve">Savings rate reduced by 3 points to avoid double-counting your existing efficiency initiatives.</w:t>
      </w:r>
    </w:p>
    <w:p>
      <w:pPr>
        <w:pStyle w:val="ListParagraph"/>
        <w:numPr>
          <w:ilvl w:val="0"/>
          <w:numId w:val="1"/>
        </w:numPr>
        <w:spacing w:after="60"/>
      </w:pPr>
      <w:r>
        <w:rPr>
          <w:color w:val="1A1A1A"/>
          <w:sz w:val="20"/>
          <w:szCs w:val="20"/>
        </w:rPr>
        <w:t xml:space="preserve">Payback period under 2 years is unusually fast — please double-check your investment cost estimate.</w:t>
      </w:r>
    </w:p>
    <w:p>
      <w:r>
        <w:br w:type="page"/>
      </w:r>
    </w:p>
    <w:p>
      <w:pPr>
        <w:pStyle w:val="Heading2"/>
        <w:spacing w:after="150" w:before="300"/>
      </w:pPr>
      <w:r>
        <w:t xml:space="preserve">Precision Tech Engineering (Manufacturing SME)</w:t>
      </w:r>
    </w:p>
    <w:p>
      <w:pPr>
        <w:spacing w:after="100" w:before="240"/>
      </w:pPr>
      <w:r>
        <w:rPr>
          <w:b/>
          <w:bCs/>
          <w:color w:val="0F6B49"/>
          <w:sz w:val="24"/>
          <w:szCs w:val="24"/>
        </w:rPr>
        <w:t xml:space="preserve">Company profile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Sector</w:t>
            </w:r>
          </w:p>
        </w:tc>
        <w:tc>
          <w:tcPr>
            <w:tcW w:type="dxa" w:w="5700"/>
            <w:tcMar>
              <w:top w:type="dxa" w:w="80"/>
              <w:left w:type="dxa" w:w="120"/>
              <w:bottom w:type="dxa" w:w="80"/>
              <w:right w:type="dxa" w:w="120"/>
            </w:tcMar>
          </w:tcPr>
          <w:p>
            <w:r>
              <w:rPr>
                <w:b w:val="false"/>
                <w:bCs w:val="false"/>
                <w:color w:val="1A1A1A"/>
                <w:sz w:val="20"/>
                <w:szCs w:val="20"/>
              </w:rPr>
              <w:t xml:space="preserve">Manufacturing (precision engineering)</w:t>
            </w:r>
          </w:p>
        </w:tc>
      </w:tr>
      <w:tr>
        <w:tc>
          <w:tcPr>
            <w:tcW w:type="dxa" w:w="2800"/>
            <w:shd w:fill="E6F5EE" w:val="clear"/>
            <w:tcMar>
              <w:top w:type="dxa" w:w="80"/>
              <w:left w:type="dxa" w:w="120"/>
              <w:bottom w:type="dxa" w:w="80"/>
              <w:right w:type="dxa" w:w="120"/>
            </w:tcMar>
          </w:tcPr>
          <w:p>
            <w:r>
              <w:rPr>
                <w:b/>
                <w:bCs/>
                <w:color w:val="0F6B49"/>
                <w:sz w:val="20"/>
                <w:szCs w:val="20"/>
              </w:rPr>
              <w:t xml:space="preserve">Sites</w:t>
            </w:r>
          </w:p>
        </w:tc>
        <w:tc>
          <w:tcPr>
            <w:tcW w:type="dxa" w:w="5700"/>
            <w:tcMar>
              <w:top w:type="dxa" w:w="80"/>
              <w:left w:type="dxa" w:w="120"/>
              <w:bottom w:type="dxa" w:w="80"/>
              <w:right w:type="dxa" w:w="120"/>
            </w:tcMar>
          </w:tcPr>
          <w:p>
            <w:r>
              <w:rPr>
                <w:b w:val="false"/>
                <w:bCs w:val="false"/>
                <w:color w:val="1A1A1A"/>
                <w:sz w:val="20"/>
                <w:szCs w:val="20"/>
              </w:rPr>
              <w:t xml:space="preserve">1</w:t>
            </w:r>
          </w:p>
        </w:tc>
      </w:tr>
      <w:tr>
        <w:tc>
          <w:tcPr>
            <w:tcW w:type="dxa" w:w="2800"/>
            <w:shd w:fill="E6F5EE" w:val="clear"/>
            <w:tcMar>
              <w:top w:type="dxa" w:w="80"/>
              <w:left w:type="dxa" w:w="120"/>
              <w:bottom w:type="dxa" w:w="80"/>
              <w:right w:type="dxa" w:w="120"/>
            </w:tcMar>
          </w:tcPr>
          <w:p>
            <w:r>
              <w:rPr>
                <w:b/>
                <w:bCs/>
                <w:color w:val="0F6B49"/>
                <w:sz w:val="20"/>
                <w:szCs w:val="20"/>
              </w:rPr>
              <w:t xml:space="preserve">Floor area</w:t>
            </w:r>
          </w:p>
        </w:tc>
        <w:tc>
          <w:tcPr>
            <w:tcW w:type="dxa" w:w="5700"/>
            <w:tcMar>
              <w:top w:type="dxa" w:w="80"/>
              <w:left w:type="dxa" w:w="120"/>
              <w:bottom w:type="dxa" w:w="80"/>
              <w:right w:type="dxa" w:w="120"/>
            </w:tcMar>
          </w:tcPr>
          <w:p>
            <w:r>
              <w:rPr>
                <w:b w:val="false"/>
                <w:bCs w:val="false"/>
                <w:color w:val="1A1A1A"/>
                <w:sz w:val="20"/>
                <w:szCs w:val="20"/>
              </w:rPr>
              <w:t xml:space="preserve">1,200 m²</w:t>
            </w:r>
          </w:p>
        </w:tc>
      </w:tr>
      <w:tr>
        <w:tc>
          <w:tcPr>
            <w:tcW w:type="dxa" w:w="2800"/>
            <w:shd w:fill="E6F5EE" w:val="clear"/>
            <w:tcMar>
              <w:top w:type="dxa" w:w="80"/>
              <w:left w:type="dxa" w:w="120"/>
              <w:bottom w:type="dxa" w:w="80"/>
              <w:right w:type="dxa" w:w="120"/>
            </w:tcMar>
          </w:tcPr>
          <w:p>
            <w:r>
              <w:rPr>
                <w:b/>
                <w:bCs/>
                <w:color w:val="0F6B49"/>
                <w:sz w:val="20"/>
                <w:szCs w:val="20"/>
              </w:rPr>
              <w:t xml:space="preserve">Employees</w:t>
            </w:r>
          </w:p>
        </w:tc>
        <w:tc>
          <w:tcPr>
            <w:tcW w:type="dxa" w:w="5700"/>
            <w:tcMar>
              <w:top w:type="dxa" w:w="80"/>
              <w:left w:type="dxa" w:w="120"/>
              <w:bottom w:type="dxa" w:w="80"/>
              <w:right w:type="dxa" w:w="120"/>
            </w:tcMar>
          </w:tcPr>
          <w:p>
            <w:r>
              <w:rPr>
                <w:b w:val="false"/>
                <w:bCs w:val="false"/>
                <w:color w:val="1A1A1A"/>
                <w:sz w:val="20"/>
                <w:szCs w:val="20"/>
              </w:rPr>
              <w:t xml:space="preserve">60</w:t>
            </w:r>
          </w:p>
        </w:tc>
      </w:tr>
      <w:tr>
        <w:tc>
          <w:tcPr>
            <w:tcW w:type="dxa" w:w="2800"/>
            <w:shd w:fill="E6F5EE" w:val="clear"/>
            <w:tcMar>
              <w:top w:type="dxa" w:w="80"/>
              <w:left w:type="dxa" w:w="120"/>
              <w:bottom w:type="dxa" w:w="80"/>
              <w:right w:type="dxa" w:w="120"/>
            </w:tcMar>
          </w:tcPr>
          <w:p>
            <w:r>
              <w:rPr>
                <w:b/>
                <w:bCs/>
                <w:color w:val="0F6B49"/>
                <w:sz w:val="20"/>
                <w:szCs w:val="20"/>
              </w:rPr>
              <w:t xml:space="preserve">Annual revenue</w:t>
            </w:r>
          </w:p>
        </w:tc>
        <w:tc>
          <w:tcPr>
            <w:tcW w:type="dxa" w:w="5700"/>
            <w:tcMar>
              <w:top w:type="dxa" w:w="80"/>
              <w:left w:type="dxa" w:w="120"/>
              <w:bottom w:type="dxa" w:w="80"/>
              <w:right w:type="dxa" w:w="120"/>
            </w:tcMar>
          </w:tcPr>
          <w:p>
            <w:r>
              <w:rPr>
                <w:b w:val="false"/>
                <w:bCs w:val="false"/>
                <w:color w:val="1A1A1A"/>
                <w:sz w:val="20"/>
                <w:szCs w:val="20"/>
              </w:rPr>
              <w:t xml:space="preserve">S$8,000,000</w:t>
            </w:r>
          </w:p>
        </w:tc>
      </w:tr>
      <w:tr>
        <w:tc>
          <w:tcPr>
            <w:tcW w:type="dxa" w:w="2800"/>
            <w:shd w:fill="E6F5EE" w:val="clear"/>
            <w:tcMar>
              <w:top w:type="dxa" w:w="80"/>
              <w:left w:type="dxa" w:w="120"/>
              <w:bottom w:type="dxa" w:w="80"/>
              <w:right w:type="dxa" w:w="120"/>
            </w:tcMar>
          </w:tcPr>
          <w:p>
            <w:r>
              <w:rPr>
                <w:b/>
                <w:bCs/>
                <w:color w:val="0F6B49"/>
                <w:sz w:val="20"/>
                <w:szCs w:val="20"/>
              </w:rPr>
              <w:t xml:space="preserve">Electricity</w:t>
            </w:r>
          </w:p>
        </w:tc>
        <w:tc>
          <w:tcPr>
            <w:tcW w:type="dxa" w:w="5700"/>
            <w:tcMar>
              <w:top w:type="dxa" w:w="80"/>
              <w:left w:type="dxa" w:w="120"/>
              <w:bottom w:type="dxa" w:w="80"/>
              <w:right w:type="dxa" w:w="120"/>
            </w:tcMar>
          </w:tcPr>
          <w:p>
            <w:r>
              <w:rPr>
                <w:b w:val="false"/>
                <w:bCs w:val="false"/>
                <w:color w:val="1A1A1A"/>
                <w:sz w:val="20"/>
                <w:szCs w:val="20"/>
              </w:rPr>
              <w:t xml:space="preserve">45,000 kWh/month (3,000 kWh/month from rooftop solar)</w:t>
            </w:r>
          </w:p>
        </w:tc>
      </w:tr>
      <w:tr>
        <w:tc>
          <w:tcPr>
            <w:tcW w:type="dxa" w:w="2800"/>
            <w:shd w:fill="E6F5EE" w:val="clear"/>
            <w:tcMar>
              <w:top w:type="dxa" w:w="80"/>
              <w:left w:type="dxa" w:w="120"/>
              <w:bottom w:type="dxa" w:w="80"/>
              <w:right w:type="dxa" w:w="120"/>
            </w:tcMar>
          </w:tcPr>
          <w:p>
            <w:r>
              <w:rPr>
                <w:b/>
                <w:bCs/>
                <w:color w:val="0F6B49"/>
                <w:sz w:val="20"/>
                <w:szCs w:val="20"/>
              </w:rPr>
              <w:t xml:space="preserve">Fleet</w:t>
            </w:r>
          </w:p>
        </w:tc>
        <w:tc>
          <w:tcPr>
            <w:tcW w:type="dxa" w:w="5700"/>
            <w:tcMar>
              <w:top w:type="dxa" w:w="80"/>
              <w:left w:type="dxa" w:w="120"/>
              <w:bottom w:type="dxa" w:w="80"/>
              <w:right w:type="dxa" w:w="120"/>
            </w:tcMar>
          </w:tcPr>
          <w:p>
            <w:r>
              <w:rPr>
                <w:b w:val="false"/>
                <w:bCs w:val="false"/>
                <w:color w:val="1A1A1A"/>
                <w:sz w:val="20"/>
                <w:szCs w:val="20"/>
              </w:rPr>
              <w:t xml:space="preserve">5 vehicles, diesel, 800 L/month + backup generator</w:t>
            </w:r>
          </w:p>
        </w:tc>
      </w:tr>
      <w:tr>
        <w:tc>
          <w:tcPr>
            <w:tcW w:type="dxa" w:w="2800"/>
            <w:shd w:fill="E6F5EE" w:val="clear"/>
            <w:tcMar>
              <w:top w:type="dxa" w:w="80"/>
              <w:left w:type="dxa" w:w="120"/>
              <w:bottom w:type="dxa" w:w="80"/>
              <w:right w:type="dxa" w:w="120"/>
            </w:tcMar>
          </w:tcPr>
          <w:p>
            <w:r>
              <w:rPr>
                <w:b/>
                <w:bCs/>
                <w:color w:val="0F6B49"/>
                <w:sz w:val="20"/>
                <w:szCs w:val="20"/>
              </w:rPr>
              <w:t xml:space="preserve">Refrigerants</w:t>
            </w:r>
          </w:p>
        </w:tc>
        <w:tc>
          <w:tcPr>
            <w:tcW w:type="dxa" w:w="5700"/>
            <w:tcMar>
              <w:top w:type="dxa" w:w="80"/>
              <w:left w:type="dxa" w:w="120"/>
              <w:bottom w:type="dxa" w:w="80"/>
              <w:right w:type="dxa" w:w="120"/>
            </w:tcMar>
          </w:tcPr>
          <w:p>
            <w:r>
              <w:rPr>
                <w:b w:val="false"/>
                <w:bCs w:val="false"/>
                <w:color w:val="1A1A1A"/>
                <w:sz w:val="20"/>
                <w:szCs w:val="20"/>
              </w:rPr>
              <w:t xml:space="preserve">R-410A, 10 kg/year top-up</w:t>
            </w:r>
          </w:p>
        </w:tc>
      </w:tr>
      <w:tr>
        <w:tc>
          <w:tcPr>
            <w:tcW w:type="dxa" w:w="2800"/>
            <w:shd w:fill="E6F5EE" w:val="clear"/>
            <w:tcMar>
              <w:top w:type="dxa" w:w="80"/>
              <w:left w:type="dxa" w:w="120"/>
              <w:bottom w:type="dxa" w:w="80"/>
              <w:right w:type="dxa" w:w="120"/>
            </w:tcMar>
          </w:tcPr>
          <w:p>
            <w:r>
              <w:rPr>
                <w:b/>
                <w:bCs/>
                <w:color w:val="0F6B49"/>
                <w:sz w:val="20"/>
                <w:szCs w:val="20"/>
              </w:rPr>
              <w:t xml:space="preserve">Already deployed</w:t>
            </w:r>
          </w:p>
        </w:tc>
        <w:tc>
          <w:tcPr>
            <w:tcW w:type="dxa" w:w="5700"/>
            <w:tcMar>
              <w:top w:type="dxa" w:w="80"/>
              <w:left w:type="dxa" w:w="120"/>
              <w:bottom w:type="dxa" w:w="80"/>
              <w:right w:type="dxa" w:w="120"/>
            </w:tcMar>
          </w:tcPr>
          <w:p>
            <w:r>
              <w:rPr>
                <w:b w:val="false"/>
                <w:bCs w:val="false"/>
                <w:color w:val="1A1A1A"/>
                <w:sz w:val="20"/>
                <w:szCs w:val="20"/>
              </w:rPr>
              <w:t xml:space="preserve">Energy monitoring, HVAC upgraded</w:t>
            </w:r>
          </w:p>
        </w:tc>
      </w:tr>
      <w:tr>
        <w:tc>
          <w:tcPr>
            <w:tcW w:type="dxa" w:w="2800"/>
            <w:shd w:fill="E6F5EE" w:val="clear"/>
            <w:tcMar>
              <w:top w:type="dxa" w:w="80"/>
              <w:left w:type="dxa" w:w="120"/>
              <w:bottom w:type="dxa" w:w="80"/>
              <w:right w:type="dxa" w:w="120"/>
            </w:tcMar>
          </w:tcPr>
          <w:p>
            <w:r>
              <w:rPr>
                <w:b/>
                <w:bCs/>
                <w:color w:val="0F6B49"/>
                <w:sz w:val="20"/>
                <w:szCs w:val="20"/>
              </w:rPr>
              <w:t xml:space="preserve">Target</w:t>
            </w:r>
          </w:p>
        </w:tc>
        <w:tc>
          <w:tcPr>
            <w:tcW w:type="dxa" w:w="5700"/>
            <w:tcMar>
              <w:top w:type="dxa" w:w="80"/>
              <w:left w:type="dxa" w:w="120"/>
              <w:bottom w:type="dxa" w:w="80"/>
              <w:right w:type="dxa" w:w="120"/>
            </w:tcMar>
          </w:tcPr>
          <w:p>
            <w:r>
              <w:rPr>
                <w:b w:val="false"/>
                <w:bCs w:val="false"/>
                <w:color w:val="1A1A1A"/>
                <w:sz w:val="20"/>
                <w:szCs w:val="20"/>
              </w:rPr>
              <w:t xml:space="preserve">25% reduction by 2030</w:t>
            </w:r>
          </w:p>
        </w:tc>
      </w:tr>
      <w:tr>
        <w:tc>
          <w:tcPr>
            <w:tcW w:type="dxa" w:w="2800"/>
            <w:shd w:fill="E6F5EE" w:val="clear"/>
            <w:tcMar>
              <w:top w:type="dxa" w:w="80"/>
              <w:left w:type="dxa" w:w="120"/>
              <w:bottom w:type="dxa" w:w="80"/>
              <w:right w:type="dxa" w:w="120"/>
            </w:tcMar>
          </w:tcPr>
          <w:p>
            <w:r>
              <w:rPr>
                <w:b/>
                <w:bCs/>
                <w:color w:val="0F6B49"/>
                <w:sz w:val="20"/>
                <w:szCs w:val="20"/>
              </w:rPr>
              <w:t xml:space="preserve">Est. investment</w:t>
            </w:r>
          </w:p>
        </w:tc>
        <w:tc>
          <w:tcPr>
            <w:tcW w:type="dxa" w:w="5700"/>
            <w:tcMar>
              <w:top w:type="dxa" w:w="80"/>
              <w:left w:type="dxa" w:w="120"/>
              <w:bottom w:type="dxa" w:w="80"/>
              <w:right w:type="dxa" w:w="120"/>
            </w:tcMar>
          </w:tcPr>
          <w:p>
            <w:r>
              <w:rPr>
                <w:b w:val="false"/>
                <w:bCs w:val="false"/>
                <w:color w:val="1A1A1A"/>
                <w:sz w:val="20"/>
                <w:szCs w:val="20"/>
              </w:rPr>
              <w:t xml:space="preserve">S$250,000</w:t>
            </w:r>
          </w:p>
        </w:tc>
      </w:tr>
    </w:tbl>
    <w:p>
      <w:pPr>
        <w:spacing w:after="100" w:before="240"/>
      </w:pPr>
      <w:r>
        <w:rPr>
          <w:b/>
          <w:bCs/>
          <w:color w:val="0F6B49"/>
          <w:sz w:val="24"/>
          <w:szCs w:val="24"/>
        </w:rPr>
        <w:t xml:space="preserve">Current situation — what they're paying / emitting today</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Current annual carbon cost</w:t>
            </w:r>
          </w:p>
        </w:tc>
        <w:tc>
          <w:tcPr>
            <w:tcW w:type="dxa" w:w="5700"/>
            <w:tcMar>
              <w:top w:type="dxa" w:w="80"/>
              <w:left w:type="dxa" w:w="120"/>
              <w:bottom w:type="dxa" w:w="80"/>
              <w:right w:type="dxa" w:w="120"/>
            </w:tcMar>
          </w:tcPr>
          <w:p>
            <w:r>
              <w:rPr>
                <w:b w:val="false"/>
                <w:bCs w:val="false"/>
                <w:color w:val="1A1A1A"/>
                <w:sz w:val="20"/>
                <w:szCs w:val="20"/>
              </w:rPr>
              <w:t xml:space="preserve">S$160,826</w:t>
            </w:r>
          </w:p>
        </w:tc>
      </w:tr>
      <w:tr>
        <w:tc>
          <w:tcPr>
            <w:tcW w:type="dxa" w:w="2800"/>
            <w:shd w:fill="E6F5EE" w:val="clear"/>
            <w:tcMar>
              <w:top w:type="dxa" w:w="80"/>
              <w:left w:type="dxa" w:w="120"/>
              <w:bottom w:type="dxa" w:w="80"/>
              <w:right w:type="dxa" w:w="120"/>
            </w:tcMar>
          </w:tcPr>
          <w:p>
            <w:r>
              <w:rPr>
                <w:b/>
                <w:bCs/>
                <w:color w:val="0F6B49"/>
                <w:sz w:val="20"/>
                <w:szCs w:val="20"/>
              </w:rPr>
              <w:t xml:space="preserve">Scope 1 (direct — fuel, refrigerants, gas)</w:t>
            </w:r>
          </w:p>
        </w:tc>
        <w:tc>
          <w:tcPr>
            <w:tcW w:type="dxa" w:w="5700"/>
            <w:tcMar>
              <w:top w:type="dxa" w:w="80"/>
              <w:left w:type="dxa" w:w="120"/>
              <w:bottom w:type="dxa" w:w="80"/>
              <w:right w:type="dxa" w:w="120"/>
            </w:tcMar>
          </w:tcPr>
          <w:p>
            <w:r>
              <w:rPr>
                <w:b w:val="false"/>
                <w:bCs w:val="false"/>
                <w:color w:val="1A1A1A"/>
                <w:sz w:val="20"/>
                <w:szCs w:val="20"/>
              </w:rPr>
              <w:t xml:space="preserve">62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2 (purchased electricity)</w:t>
            </w:r>
          </w:p>
        </w:tc>
        <w:tc>
          <w:tcPr>
            <w:tcW w:type="dxa" w:w="5700"/>
            <w:tcMar>
              <w:top w:type="dxa" w:w="80"/>
              <w:left w:type="dxa" w:w="120"/>
              <w:bottom w:type="dxa" w:w="80"/>
              <w:right w:type="dxa" w:w="120"/>
            </w:tcMar>
          </w:tcPr>
          <w:p>
            <w:r>
              <w:rPr>
                <w:b w:val="false"/>
                <w:bCs w:val="false"/>
                <w:color w:val="1A1A1A"/>
                <w:sz w:val="20"/>
                <w:szCs w:val="20"/>
              </w:rPr>
              <w:t xml:space="preserve">203 tCO2e</w:t>
            </w:r>
          </w:p>
        </w:tc>
      </w:tr>
      <w:tr>
        <w:tc>
          <w:tcPr>
            <w:tcW w:type="dxa" w:w="2800"/>
            <w:shd w:fill="E6F5EE" w:val="clear"/>
            <w:tcMar>
              <w:top w:type="dxa" w:w="80"/>
              <w:left w:type="dxa" w:w="120"/>
              <w:bottom w:type="dxa" w:w="80"/>
              <w:right w:type="dxa" w:w="120"/>
            </w:tcMar>
          </w:tcPr>
          <w:p>
            <w:r>
              <w:rPr>
                <w:b/>
                <w:bCs/>
                <w:color w:val="0F6B49"/>
                <w:sz w:val="20"/>
                <w:szCs w:val="20"/>
              </w:rPr>
              <w:t xml:space="preserve">Total Scope 1+2</w:t>
            </w:r>
          </w:p>
        </w:tc>
        <w:tc>
          <w:tcPr>
            <w:tcW w:type="dxa" w:w="5700"/>
            <w:tcMar>
              <w:top w:type="dxa" w:w="80"/>
              <w:left w:type="dxa" w:w="120"/>
              <w:bottom w:type="dxa" w:w="80"/>
              <w:right w:type="dxa" w:w="120"/>
            </w:tcMar>
          </w:tcPr>
          <w:p>
            <w:r>
              <w:rPr>
                <w:b w:val="false"/>
                <w:bCs w:val="false"/>
                <w:color w:val="1A1A1A"/>
                <w:sz w:val="20"/>
                <w:szCs w:val="20"/>
              </w:rPr>
              <w:t xml:space="preserve">265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3 (value chain, context only)</w:t>
            </w:r>
          </w:p>
        </w:tc>
        <w:tc>
          <w:tcPr>
            <w:tcW w:type="dxa" w:w="5700"/>
            <w:tcMar>
              <w:top w:type="dxa" w:w="80"/>
              <w:left w:type="dxa" w:w="120"/>
              <w:bottom w:type="dxa" w:w="80"/>
              <w:right w:type="dxa" w:w="120"/>
            </w:tcMar>
          </w:tcPr>
          <w:p>
            <w:r>
              <w:rPr>
                <w:b w:val="false"/>
                <w:bCs w:val="false"/>
                <w:color w:val="1A1A1A"/>
                <w:sz w:val="20"/>
                <w:szCs w:val="20"/>
              </w:rPr>
              <w:t xml:space="preserve">1,388 tCO2e</w:t>
            </w:r>
          </w:p>
        </w:tc>
      </w:tr>
      <w:tr>
        <w:tc>
          <w:tcPr>
            <w:tcW w:type="dxa" w:w="2800"/>
            <w:shd w:fill="E6F5EE" w:val="clear"/>
            <w:tcMar>
              <w:top w:type="dxa" w:w="80"/>
              <w:left w:type="dxa" w:w="120"/>
              <w:bottom w:type="dxa" w:w="80"/>
              <w:right w:type="dxa" w:w="120"/>
            </w:tcMar>
          </w:tcPr>
          <w:p>
            <w:r>
              <w:rPr>
                <w:b/>
                <w:bCs/>
                <w:color w:val="0F6B49"/>
                <w:sz w:val="20"/>
                <w:szCs w:val="20"/>
              </w:rPr>
              <w:t xml:space="preserve">Sector position</w:t>
            </w:r>
          </w:p>
        </w:tc>
        <w:tc>
          <w:tcPr>
            <w:tcW w:type="dxa" w:w="5700"/>
            <w:tcMar>
              <w:top w:type="dxa" w:w="80"/>
              <w:left w:type="dxa" w:w="120"/>
              <w:bottom w:type="dxa" w:w="80"/>
              <w:right w:type="dxa" w:w="120"/>
            </w:tcMar>
          </w:tcPr>
          <w:p>
            <w:r>
              <w:rPr>
                <w:b w:val="false"/>
                <w:bCs w:val="false"/>
                <w:color w:val="1A1A1A"/>
                <w:sz w:val="20"/>
                <w:szCs w:val="20"/>
              </w:rPr>
              <w:t xml:space="preserve">Worst quartile of sector — high savings potential</w:t>
            </w:r>
          </w:p>
        </w:tc>
      </w:tr>
      <w:tr>
        <w:tc>
          <w:tcPr>
            <w:tcW w:type="dxa" w:w="2800"/>
            <w:shd w:fill="E6F5EE" w:val="clear"/>
            <w:tcMar>
              <w:top w:type="dxa" w:w="80"/>
              <w:left w:type="dxa" w:w="120"/>
              <w:bottom w:type="dxa" w:w="80"/>
              <w:right w:type="dxa" w:w="120"/>
            </w:tcMar>
          </w:tcPr>
          <w:p>
            <w:r>
              <w:rPr>
                <w:b/>
                <w:bCs/>
                <w:color w:val="0F6B49"/>
                <w:sz w:val="20"/>
                <w:szCs w:val="20"/>
              </w:rPr>
              <w:t xml:space="preserve">Direct carbon taxpayer?</w:t>
            </w:r>
          </w:p>
        </w:tc>
        <w:tc>
          <w:tcPr>
            <w:tcW w:type="dxa" w:w="5700"/>
            <w:tcMar>
              <w:top w:type="dxa" w:w="80"/>
              <w:left w:type="dxa" w:w="120"/>
              <w:bottom w:type="dxa" w:w="80"/>
              <w:right w:type="dxa" w:w="120"/>
            </w:tcMar>
          </w:tcPr>
          <w:p>
            <w:r>
              <w:rPr>
                <w:b w:val="false"/>
                <w:bCs w:val="false"/>
                <w:color w:val="1A1A1A"/>
                <w:sz w:val="20"/>
                <w:szCs w:val="20"/>
              </w:rPr>
              <w:t xml:space="preserve">No — pass-through only, already in tariff</w:t>
            </w:r>
          </w:p>
        </w:tc>
      </w:tr>
    </w:tbl>
    <w:p>
      <w:pPr>
        <w:spacing w:after="100" w:before="240"/>
      </w:pPr>
      <w:r>
        <w:rPr>
          <w:b/>
          <w:bCs/>
          <w:color w:val="0F6B49"/>
          <w:sz w:val="24"/>
          <w:szCs w:val="24"/>
        </w:rPr>
        <w:t xml:space="preserve">Potential — what they could save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Estimated Year-1 saving</w:t>
            </w:r>
          </w:p>
        </w:tc>
        <w:tc>
          <w:tcPr>
            <w:tcW w:type="dxa" w:w="5700"/>
            <w:tcMar>
              <w:top w:type="dxa" w:w="80"/>
              <w:left w:type="dxa" w:w="120"/>
              <w:bottom w:type="dxa" w:w="80"/>
              <w:right w:type="dxa" w:w="120"/>
            </w:tcMar>
          </w:tcPr>
          <w:p>
            <w:r>
              <w:rPr>
                <w:b w:val="false"/>
                <w:bCs w:val="false"/>
                <w:color w:val="1A1A1A"/>
                <w:sz w:val="20"/>
                <w:szCs w:val="20"/>
              </w:rPr>
              <w:t xml:space="preserve">S$45,634 – S$94,779</w:t>
            </w:r>
          </w:p>
        </w:tc>
      </w:tr>
      <w:tr>
        <w:tc>
          <w:tcPr>
            <w:tcW w:type="dxa" w:w="2800"/>
            <w:shd w:fill="E6F5EE" w:val="clear"/>
            <w:tcMar>
              <w:top w:type="dxa" w:w="80"/>
              <w:left w:type="dxa" w:w="120"/>
              <w:bottom w:type="dxa" w:w="80"/>
              <w:right w:type="dxa" w:w="120"/>
            </w:tcMar>
          </w:tcPr>
          <w:p>
            <w:r>
              <w:rPr>
                <w:b/>
                <w:bCs/>
                <w:color w:val="0F6B49"/>
                <w:sz w:val="20"/>
                <w:szCs w:val="20"/>
              </w:rPr>
              <w:t xml:space="preserve">Estimated 10-year cumulative saving</w:t>
            </w:r>
          </w:p>
        </w:tc>
        <w:tc>
          <w:tcPr>
            <w:tcW w:type="dxa" w:w="5700"/>
            <w:tcMar>
              <w:top w:type="dxa" w:w="80"/>
              <w:left w:type="dxa" w:w="120"/>
              <w:bottom w:type="dxa" w:w="80"/>
              <w:right w:type="dxa" w:w="120"/>
            </w:tcMar>
          </w:tcPr>
          <w:p>
            <w:r>
              <w:rPr>
                <w:b w:val="false"/>
                <w:bCs w:val="false"/>
                <w:color w:val="1A1A1A"/>
                <w:sz w:val="20"/>
                <w:szCs w:val="20"/>
              </w:rPr>
              <w:t xml:space="preserve">S$280,843 – S$583,289</w:t>
            </w:r>
          </w:p>
        </w:tc>
      </w:tr>
      <w:tr>
        <w:tc>
          <w:tcPr>
            <w:tcW w:type="dxa" w:w="2800"/>
            <w:shd w:fill="E6F5EE" w:val="clear"/>
            <w:tcMar>
              <w:top w:type="dxa" w:w="80"/>
              <w:left w:type="dxa" w:w="120"/>
              <w:bottom w:type="dxa" w:w="80"/>
              <w:right w:type="dxa" w:w="120"/>
            </w:tcMar>
          </w:tcPr>
          <w:p>
            <w:r>
              <w:rPr>
                <w:b/>
                <w:bCs/>
                <w:color w:val="0F6B49"/>
                <w:sz w:val="20"/>
                <w:szCs w:val="20"/>
              </w:rPr>
              <w:t xml:space="preserve">Payback period</w:t>
            </w:r>
          </w:p>
        </w:tc>
        <w:tc>
          <w:tcPr>
            <w:tcW w:type="dxa" w:w="5700"/>
            <w:tcMar>
              <w:top w:type="dxa" w:w="80"/>
              <w:left w:type="dxa" w:w="120"/>
              <w:bottom w:type="dxa" w:w="80"/>
              <w:right w:type="dxa" w:w="120"/>
            </w:tcMar>
          </w:tcPr>
          <w:p>
            <w:r>
              <w:rPr>
                <w:b w:val="false"/>
                <w:bCs w:val="false"/>
                <w:color w:val="1A1A1A"/>
                <w:sz w:val="20"/>
                <w:szCs w:val="20"/>
              </w:rPr>
              <w:t xml:space="preserve">4.7 years</w:t>
            </w:r>
          </w:p>
        </w:tc>
      </w:tr>
      <w:tr>
        <w:tc>
          <w:tcPr>
            <w:tcW w:type="dxa" w:w="2800"/>
            <w:shd w:fill="E6F5EE" w:val="clear"/>
            <w:tcMar>
              <w:top w:type="dxa" w:w="80"/>
              <w:left w:type="dxa" w:w="120"/>
              <w:bottom w:type="dxa" w:w="80"/>
              <w:right w:type="dxa" w:w="120"/>
            </w:tcMar>
          </w:tcPr>
          <w:p>
            <w:r>
              <w:rPr>
                <w:b/>
                <w:bCs/>
                <w:color w:val="0F6B49"/>
                <w:sz w:val="20"/>
                <w:szCs w:val="20"/>
              </w:rPr>
              <w:t xml:space="preserve">Applied energy-saving rate</w:t>
            </w:r>
          </w:p>
        </w:tc>
        <w:tc>
          <w:tcPr>
            <w:tcW w:type="dxa" w:w="5700"/>
            <w:tcMar>
              <w:top w:type="dxa" w:w="80"/>
              <w:left w:type="dxa" w:w="120"/>
              <w:bottom w:type="dxa" w:w="80"/>
              <w:right w:type="dxa" w:w="120"/>
            </w:tcMar>
          </w:tcPr>
          <w:p>
            <w:r>
              <w:rPr>
                <w:b w:val="false"/>
                <w:bCs w:val="false"/>
                <w:color w:val="1A1A1A"/>
                <w:sz w:val="20"/>
                <w:szCs w:val="20"/>
              </w:rPr>
              <w:t xml:space="preserve">25%</w:t>
            </w:r>
          </w:p>
        </w:tc>
      </w:tr>
      <w:tr>
        <w:tc>
          <w:tcPr>
            <w:tcW w:type="dxa" w:w="2800"/>
            <w:shd w:fill="E6F5EE" w:val="clear"/>
            <w:tcMar>
              <w:top w:type="dxa" w:w="80"/>
              <w:left w:type="dxa" w:w="120"/>
              <w:bottom w:type="dxa" w:w="80"/>
              <w:right w:type="dxa" w:w="120"/>
            </w:tcMar>
          </w:tcPr>
          <w:p>
            <w:r>
              <w:rPr>
                <w:b/>
                <w:bCs/>
                <w:color w:val="0F6B49"/>
                <w:sz w:val="20"/>
                <w:szCs w:val="20"/>
              </w:rPr>
              <w:t xml:space="preserve">Confidence level</w:t>
            </w:r>
          </w:p>
        </w:tc>
        <w:tc>
          <w:tcPr>
            <w:tcW w:type="dxa" w:w="5700"/>
            <w:tcMar>
              <w:top w:type="dxa" w:w="80"/>
              <w:left w:type="dxa" w:w="120"/>
              <w:bottom w:type="dxa" w:w="80"/>
              <w:right w:type="dxa" w:w="120"/>
            </w:tcMar>
          </w:tcPr>
          <w:p>
            <w:r>
              <w:rPr>
                <w:b w:val="false"/>
                <w:bCs w:val="false"/>
                <w:color w:val="1A1A1A"/>
                <w:sz w:val="20"/>
                <w:szCs w:val="20"/>
              </w:rPr>
              <w:t xml:space="preserve">Low (±35% range shown above for Low; see reasons below)</w:t>
            </w:r>
          </w:p>
        </w:tc>
      </w:tr>
    </w:tbl>
    <w:p>
      <w:pPr>
        <w:pStyle w:val="ListParagraph"/>
        <w:numPr>
          <w:ilvl w:val="0"/>
          <w:numId w:val="1"/>
        </w:numPr>
        <w:spacing w:after="60"/>
      </w:pPr>
      <w:r>
        <w:rPr>
          <w:color w:val="1A1A1A"/>
          <w:sz w:val="20"/>
          <w:szCs w:val="20"/>
        </w:rPr>
        <w:t xml:space="preserve">Scope 3 uses spend-based EEIO factors (±35%), not activity data</w:t>
      </w:r>
    </w:p>
    <w:p>
      <w:pPr>
        <w:spacing w:after="100" w:before="240"/>
      </w:pPr>
      <w:r>
        <w:rPr>
          <w:b/>
          <w:bCs/>
          <w:color w:val="0F6B49"/>
          <w:sz w:val="24"/>
          <w:szCs w:val="24"/>
        </w:rPr>
        <w:t xml:space="preserve">Target tracking</w:t>
      </w:r>
    </w:p>
    <w:p>
      <w:pPr>
        <w:spacing w:after="160"/>
      </w:pPr>
      <w:r>
        <w:rPr>
          <w:i w:val="false"/>
          <w:iCs w:val="false"/>
          <w:color w:val="1A1A1A"/>
          <w:sz w:val="21"/>
          <w:szCs w:val="21"/>
        </w:rPr>
        <w:t xml:space="preserve">Against an implied 25% reduction target by 2030, this plan is projected to avoid 48 tCO2e/year versus the 66 tCO2e/year required — currently NOT on track on energy efficiency alone.</w:t>
      </w:r>
    </w:p>
    <w:p>
      <w:pPr>
        <w:spacing w:after="100" w:before="240"/>
      </w:pPr>
      <w:r>
        <w:rPr>
          <w:b/>
          <w:bCs/>
          <w:color w:val="0F6B49"/>
          <w:sz w:val="24"/>
          <w:szCs w:val="24"/>
        </w:rPr>
        <w:t xml:space="preserve">What needs to be done</w:t>
      </w:r>
    </w:p>
    <w:p>
      <w:pPr>
        <w:pStyle w:val="ListParagraph"/>
        <w:numPr>
          <w:ilvl w:val="0"/>
          <w:numId w:val="1"/>
        </w:numPr>
        <w:spacing w:after="60"/>
      </w:pPr>
      <w:r>
        <w:rPr>
          <w:color w:val="1A1A1A"/>
          <w:sz w:val="20"/>
          <w:szCs w:val="20"/>
        </w:rPr>
        <w:t xml:space="preserve">EcoStruxure Building Operation (EBO) (primary)</w:t>
      </w:r>
    </w:p>
    <w:p>
      <w:pPr>
        <w:pStyle w:val="ListParagraph"/>
        <w:numPr>
          <w:ilvl w:val="0"/>
          <w:numId w:val="1"/>
        </w:numPr>
        <w:spacing w:after="60"/>
      </w:pPr>
      <w:r>
        <w:rPr>
          <w:color w:val="1A1A1A"/>
          <w:sz w:val="20"/>
          <w:szCs w:val="20"/>
        </w:rPr>
        <w:t xml:space="preserve">EcoStruxure Microgrid / EaaS (add-on)</w:t>
      </w:r>
    </w:p>
    <w:p>
      <w:pPr>
        <w:pStyle w:val="ListParagraph"/>
        <w:numPr>
          <w:ilvl w:val="0"/>
          <w:numId w:val="1"/>
        </w:numPr>
        <w:spacing w:after="60"/>
      </w:pPr>
      <w:r>
        <w:rPr>
          <w:color w:val="1A1A1A"/>
          <w:sz w:val="20"/>
          <w:szCs w:val="20"/>
        </w:rPr>
        <w:t xml:space="preserve">EcoStruxure Resource Advisor (Scope 3 module) (scope3)</w:t>
      </w:r>
    </w:p>
    <w:p>
      <w:pPr>
        <w:spacing w:after="100" w:before="240"/>
      </w:pPr>
      <w:r>
        <w:rPr>
          <w:b/>
          <w:bCs/>
          <w:color w:val="0F6B49"/>
          <w:sz w:val="24"/>
          <w:szCs w:val="24"/>
        </w:rPr>
        <w:t xml:space="preserve">Regulatory / compliance flags</w:t>
      </w:r>
    </w:p>
    <w:p>
      <w:pPr>
        <w:pStyle w:val="ListParagraph"/>
        <w:numPr>
          <w:ilvl w:val="0"/>
          <w:numId w:val="1"/>
        </w:numPr>
        <w:spacing w:after="60"/>
      </w:pPr>
      <w:r>
        <w:rPr>
          <w:color w:val="1A1A1A"/>
          <w:sz w:val="20"/>
          <w:szCs w:val="20"/>
        </w:rPr>
        <w:t xml:space="preserve">green: Not a direct carbon taxpayer</w:t>
      </w:r>
    </w:p>
    <w:p>
      <w:pPr>
        <w:pStyle w:val="ListParagraph"/>
        <w:numPr>
          <w:ilvl w:val="0"/>
          <w:numId w:val="1"/>
        </w:numPr>
        <w:spacing w:after="60"/>
      </w:pPr>
      <w:r>
        <w:rPr>
          <w:color w:val="1A1A1A"/>
          <w:sz w:val="20"/>
          <w:szCs w:val="20"/>
        </w:rPr>
        <w:t xml:space="preserve">green: EEG grant eligible</w:t>
      </w:r>
    </w:p>
    <w:p>
      <w:pPr>
        <w:pStyle w:val="ListParagraph"/>
        <w:numPr>
          <w:ilvl w:val="0"/>
          <w:numId w:val="1"/>
        </w:numPr>
        <w:spacing w:after="60"/>
      </w:pPr>
      <w:r>
        <w:rPr>
          <w:color w:val="1A1A1A"/>
          <w:sz w:val="20"/>
          <w:szCs w:val="20"/>
        </w:rPr>
        <w:t xml:space="preserve">yellow: Scope 3 downstream pressure</w:t>
      </w:r>
    </w:p>
    <w:p>
      <w:pPr>
        <w:spacing w:after="100" w:before="240"/>
      </w:pPr>
      <w:r>
        <w:rPr>
          <w:b/>
          <w:bCs/>
          <w:color w:val="0F6B49"/>
          <w:sz w:val="24"/>
          <w:szCs w:val="24"/>
        </w:rPr>
        <w:t xml:space="preserve">Plain-English summary (as shown to the client)</w:t>
      </w:r>
    </w:p>
    <w:p>
      <w:pPr>
        <w:spacing w:after="160"/>
      </w:pPr>
      <w:r>
        <w:rPr>
          <w:i w:val="false"/>
          <w:iCs w:val="false"/>
          <w:color w:val="1A1A1A"/>
          <w:sz w:val="21"/>
          <w:szCs w:val="21"/>
        </w:rPr>
        <w:t xml:space="preserve">Precision Tech Engineering Pte Ltd — a Manufacturing business with 1200m² across Singapore (including a 5-vehicle fleet) — emits approximately 265 tCO₂e/year across Scope 1 and 2. By deploying EcoStruxure Building Operation (EBO) and EcoStruxure Microgrid / EaaS, you could save an estimated S$40,207 per year on energy costs. Singapore's carbon tax doesn't apply directly to your facility (that's reserved for large industrial emitters) — its cost is already embedded in the electricity tariff you pay today, so no separate carbon tax line is added here. If you expect tariffs to keep rising as the carbon price climbs toward 2030, model that explicitly with the tariff escalation slider. With your EEG grant applied, your payback period is approximately 4.7 years. Over 10 years, the cumulative financial benefit is estimated at S$280,843 to S$583,289. Your Scope 3 footprint of ~1,388 tCO₂e/year is identified but not included in the financial saving — EcoStruxure Resource Advisor can help you track and report this for SBTi and SGX sustainability reporting purposes.</w:t>
      </w:r>
    </w:p>
    <w:p>
      <w:pPr>
        <w:spacing w:after="100" w:before="240"/>
      </w:pPr>
      <w:r>
        <w:rPr>
          <w:b/>
          <w:bCs/>
          <w:color w:val="0F6B49"/>
          <w:sz w:val="24"/>
          <w:szCs w:val="24"/>
        </w:rPr>
        <w:t xml:space="preserve">Key caveats disclosed to the user</w:t>
      </w:r>
    </w:p>
    <w:p>
      <w:pPr>
        <w:pStyle w:val="ListParagraph"/>
        <w:numPr>
          <w:ilvl w:val="0"/>
          <w:numId w:val="1"/>
        </w:numPr>
        <w:spacing w:after="60"/>
      </w:pPr>
      <w:r>
        <w:rPr>
          <w:color w:val="1A1A1A"/>
          <w:sz w:val="20"/>
          <w:szCs w:val="20"/>
        </w:rPr>
        <w:t xml:space="preserve">Natural gas emission factor is an unconfirmed placeholder (IPCC default) pending team sign-off — see data/emission_factors.json.</w:t>
      </w:r>
    </w:p>
    <w:p>
      <w:pPr>
        <w:pStyle w:val="ListParagraph"/>
        <w:numPr>
          <w:ilvl w:val="0"/>
          <w:numId w:val="1"/>
        </w:numPr>
        <w:spacing w:after="60"/>
      </w:pPr>
      <w:r>
        <w:rPr>
          <w:color w:val="1A1A1A"/>
          <w:sz w:val="20"/>
          <w:szCs w:val="20"/>
        </w:rPr>
        <w:t xml:space="preserve">No separate carbon tax saving is shown: Singapore's carbon tax applies only to ~50 large facilities with ≥25,000 tCO2e/year of direct (Scope 1) emissions. Your exposure is a small pass-through already reflected in the electricity tariff used for the energy saving above — showing it twice would double-count the same cost.</w:t>
      </w:r>
    </w:p>
    <w:p>
      <w:pPr>
        <w:pStyle w:val="ListParagraph"/>
        <w:numPr>
          <w:ilvl w:val="0"/>
          <w:numId w:val="1"/>
        </w:numPr>
        <w:spacing w:after="60"/>
      </w:pPr>
      <w:r>
        <w:rPr>
          <w:color w:val="1A1A1A"/>
          <w:sz w:val="20"/>
          <w:szCs w:val="20"/>
        </w:rPr>
        <w:t xml:space="preserve">Employee commuting uses placeholder per-mode emission factors pending DEFRA-sourced sign-off — see data/scope3_factors.json.</w:t>
      </w:r>
    </w:p>
    <w:p>
      <w:pPr>
        <w:pStyle w:val="ListParagraph"/>
        <w:numPr>
          <w:ilvl w:val="0"/>
          <w:numId w:val="1"/>
        </w:numPr>
        <w:spacing w:after="60"/>
      </w:pPr>
      <w:r>
        <w:rPr>
          <w:color w:val="1A1A1A"/>
          <w:sz w:val="20"/>
          <w:szCs w:val="20"/>
        </w:rPr>
        <w:t xml:space="preserve">Savings rate reduced by 3 points to avoid double-counting your existing efficiency initiatives.</w:t>
      </w:r>
    </w:p>
    <w:p>
      <w:r>
        <w:br w:type="page"/>
      </w:r>
    </w:p>
    <w:p>
      <w:pPr>
        <w:pStyle w:val="Heading1"/>
        <w:spacing w:after="200" w:before="400"/>
      </w:pPr>
      <w:r>
        <w:t xml:space="preserve">Part 2 — MNC Mode (3 scenarios)</w:t>
      </w:r>
    </w:p>
    <w:p>
      <w:pPr>
        <w:pStyle w:val="Heading2"/>
        <w:spacing w:after="150" w:before="300"/>
      </w:pPr>
      <w:r>
        <w:t xml:space="preserve">Meridian Textiles Group (Manufacturing MNC)</w:t>
      </w:r>
    </w:p>
    <w:p>
      <w:pPr>
        <w:spacing w:after="100" w:before="240"/>
      </w:pPr>
      <w:r>
        <w:rPr>
          <w:b/>
          <w:bCs/>
          <w:color w:val="0F6B49"/>
          <w:sz w:val="24"/>
          <w:szCs w:val="24"/>
        </w:rPr>
        <w:t xml:space="preserve">Company profile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Sector</w:t>
            </w:r>
          </w:p>
        </w:tc>
        <w:tc>
          <w:tcPr>
            <w:tcW w:type="dxa" w:w="5700"/>
            <w:tcMar>
              <w:top w:type="dxa" w:w="80"/>
              <w:left w:type="dxa" w:w="120"/>
              <w:bottom w:type="dxa" w:w="80"/>
              <w:right w:type="dxa" w:w="120"/>
            </w:tcMar>
          </w:tcPr>
          <w:p>
            <w:r>
              <w:rPr>
                <w:b w:val="false"/>
                <w:bCs w:val="false"/>
                <w:color w:val="1A1A1A"/>
                <w:sz w:val="20"/>
                <w:szCs w:val="20"/>
              </w:rPr>
              <w:t xml:space="preserve">Manufacturing (garment/textiles)</w:t>
            </w:r>
          </w:p>
        </w:tc>
      </w:tr>
      <w:tr>
        <w:tc>
          <w:tcPr>
            <w:tcW w:type="dxa" w:w="2800"/>
            <w:shd w:fill="E6F5EE" w:val="clear"/>
            <w:tcMar>
              <w:top w:type="dxa" w:w="80"/>
              <w:left w:type="dxa" w:w="120"/>
              <w:bottom w:type="dxa" w:w="80"/>
              <w:right w:type="dxa" w:w="120"/>
            </w:tcMar>
          </w:tcPr>
          <w:p>
            <w:r>
              <w:rPr>
                <w:b/>
                <w:bCs/>
                <w:color w:val="0F6B49"/>
                <w:sz w:val="20"/>
                <w:szCs w:val="20"/>
              </w:rPr>
              <w:t xml:space="preserve">Sites</w:t>
            </w:r>
          </w:p>
        </w:tc>
        <w:tc>
          <w:tcPr>
            <w:tcW w:type="dxa" w:w="5700"/>
            <w:tcMar>
              <w:top w:type="dxa" w:w="80"/>
              <w:left w:type="dxa" w:w="120"/>
              <w:bottom w:type="dxa" w:w="80"/>
              <w:right w:type="dxa" w:w="120"/>
            </w:tcMar>
          </w:tcPr>
          <w:p>
            <w:r>
              <w:rPr>
                <w:b w:val="false"/>
                <w:bCs w:val="false"/>
                <w:color w:val="1A1A1A"/>
                <w:sz w:val="20"/>
                <w:szCs w:val="20"/>
              </w:rPr>
              <w:t xml:space="preserve">2 (HQ office, Woodlands plant)</w:t>
            </w:r>
          </w:p>
        </w:tc>
      </w:tr>
      <w:tr>
        <w:tc>
          <w:tcPr>
            <w:tcW w:type="dxa" w:w="2800"/>
            <w:shd w:fill="E6F5EE" w:val="clear"/>
            <w:tcMar>
              <w:top w:type="dxa" w:w="80"/>
              <w:left w:type="dxa" w:w="120"/>
              <w:bottom w:type="dxa" w:w="80"/>
              <w:right w:type="dxa" w:w="120"/>
            </w:tcMar>
          </w:tcPr>
          <w:p>
            <w:r>
              <w:rPr>
                <w:b/>
                <w:bCs/>
                <w:color w:val="0F6B49"/>
                <w:sz w:val="20"/>
                <w:szCs w:val="20"/>
              </w:rPr>
              <w:t xml:space="preserve">Employees</w:t>
            </w:r>
          </w:p>
        </w:tc>
        <w:tc>
          <w:tcPr>
            <w:tcW w:type="dxa" w:w="5700"/>
            <w:tcMar>
              <w:top w:type="dxa" w:w="80"/>
              <w:left w:type="dxa" w:w="120"/>
              <w:bottom w:type="dxa" w:w="80"/>
              <w:right w:type="dxa" w:w="120"/>
            </w:tcMar>
          </w:tcPr>
          <w:p>
            <w:r>
              <w:rPr>
                <w:b w:val="false"/>
                <w:bCs w:val="false"/>
                <w:color w:val="1A1A1A"/>
                <w:sz w:val="20"/>
                <w:szCs w:val="20"/>
              </w:rPr>
              <w:t xml:space="preserve">450</w:t>
            </w:r>
          </w:p>
        </w:tc>
      </w:tr>
      <w:tr>
        <w:tc>
          <w:tcPr>
            <w:tcW w:type="dxa" w:w="2800"/>
            <w:shd w:fill="E6F5EE" w:val="clear"/>
            <w:tcMar>
              <w:top w:type="dxa" w:w="80"/>
              <w:left w:type="dxa" w:w="120"/>
              <w:bottom w:type="dxa" w:w="80"/>
              <w:right w:type="dxa" w:w="120"/>
            </w:tcMar>
          </w:tcPr>
          <w:p>
            <w:r>
              <w:rPr>
                <w:b/>
                <w:bCs/>
                <w:color w:val="0F6B49"/>
                <w:sz w:val="20"/>
                <w:szCs w:val="20"/>
              </w:rPr>
              <w:t xml:space="preserve">Annual revenue</w:t>
            </w:r>
          </w:p>
        </w:tc>
        <w:tc>
          <w:tcPr>
            <w:tcW w:type="dxa" w:w="5700"/>
            <w:tcMar>
              <w:top w:type="dxa" w:w="80"/>
              <w:left w:type="dxa" w:w="120"/>
              <w:bottom w:type="dxa" w:w="80"/>
              <w:right w:type="dxa" w:w="120"/>
            </w:tcMar>
          </w:tcPr>
          <w:p>
            <w:r>
              <w:rPr>
                <w:b w:val="false"/>
                <w:bCs w:val="false"/>
                <w:color w:val="1A1A1A"/>
                <w:sz w:val="20"/>
                <w:szCs w:val="20"/>
              </w:rPr>
              <w:t xml:space="preserve">S$85,000,000</w:t>
            </w:r>
          </w:p>
        </w:tc>
      </w:tr>
      <w:tr>
        <w:tc>
          <w:tcPr>
            <w:tcW w:type="dxa" w:w="2800"/>
            <w:shd w:fill="E6F5EE" w:val="clear"/>
            <w:tcMar>
              <w:top w:type="dxa" w:w="80"/>
              <w:left w:type="dxa" w:w="120"/>
              <w:bottom w:type="dxa" w:w="80"/>
              <w:right w:type="dxa" w:w="120"/>
            </w:tcMar>
          </w:tcPr>
          <w:p>
            <w:r>
              <w:rPr>
                <w:b/>
                <w:bCs/>
                <w:color w:val="0F6B49"/>
                <w:sz w:val="20"/>
                <w:szCs w:val="20"/>
              </w:rPr>
              <w:t xml:space="preserve">Electricity</w:t>
            </w:r>
          </w:p>
        </w:tc>
        <w:tc>
          <w:tcPr>
            <w:tcW w:type="dxa" w:w="5700"/>
            <w:tcMar>
              <w:top w:type="dxa" w:w="80"/>
              <w:left w:type="dxa" w:w="120"/>
              <w:bottom w:type="dxa" w:w="80"/>
              <w:right w:type="dxa" w:w="120"/>
            </w:tcMar>
          </w:tcPr>
          <w:p>
            <w:r>
              <w:rPr>
                <w:b w:val="false"/>
                <w:bCs w:val="false"/>
                <w:color w:val="1A1A1A"/>
                <w:sz w:val="20"/>
                <w:szCs w:val="20"/>
              </w:rPr>
              <w:t xml:space="preserve">800,000 + 6,500,000 kWh/year across 2 sites</w:t>
            </w:r>
          </w:p>
        </w:tc>
      </w:tr>
      <w:tr>
        <w:tc>
          <w:tcPr>
            <w:tcW w:type="dxa" w:w="2800"/>
            <w:shd w:fill="E6F5EE" w:val="clear"/>
            <w:tcMar>
              <w:top w:type="dxa" w:w="80"/>
              <w:left w:type="dxa" w:w="120"/>
              <w:bottom w:type="dxa" w:w="80"/>
              <w:right w:type="dxa" w:w="120"/>
            </w:tcMar>
          </w:tcPr>
          <w:p>
            <w:r>
              <w:rPr>
                <w:b/>
                <w:bCs/>
                <w:color w:val="0F6B49"/>
                <w:sz w:val="20"/>
                <w:szCs w:val="20"/>
              </w:rPr>
              <w:t xml:space="preserve">Fleet</w:t>
            </w:r>
          </w:p>
        </w:tc>
        <w:tc>
          <w:tcPr>
            <w:tcW w:type="dxa" w:w="5700"/>
            <w:tcMar>
              <w:top w:type="dxa" w:w="80"/>
              <w:left w:type="dxa" w:w="120"/>
              <w:bottom w:type="dxa" w:w="80"/>
              <w:right w:type="dxa" w:w="120"/>
            </w:tcMar>
          </w:tcPr>
          <w:p>
            <w:r>
              <w:rPr>
                <w:b w:val="false"/>
                <w:bCs w:val="false"/>
                <w:color w:val="1A1A1A"/>
                <w:sz w:val="20"/>
                <w:szCs w:val="20"/>
              </w:rPr>
              <w:t xml:space="preserve">40,000 L/year mobile diesel</w:t>
            </w:r>
          </w:p>
        </w:tc>
      </w:tr>
      <w:tr>
        <w:tc>
          <w:tcPr>
            <w:tcW w:type="dxa" w:w="2800"/>
            <w:shd w:fill="E6F5EE" w:val="clear"/>
            <w:tcMar>
              <w:top w:type="dxa" w:w="80"/>
              <w:left w:type="dxa" w:w="120"/>
              <w:bottom w:type="dxa" w:w="80"/>
              <w:right w:type="dxa" w:w="120"/>
            </w:tcMar>
          </w:tcPr>
          <w:p>
            <w:r>
              <w:rPr>
                <w:b/>
                <w:bCs/>
                <w:color w:val="0F6B49"/>
                <w:sz w:val="20"/>
                <w:szCs w:val="20"/>
              </w:rPr>
              <w:t xml:space="preserve">Refrigerants</w:t>
            </w:r>
          </w:p>
        </w:tc>
        <w:tc>
          <w:tcPr>
            <w:tcW w:type="dxa" w:w="5700"/>
            <w:tcMar>
              <w:top w:type="dxa" w:w="80"/>
              <w:left w:type="dxa" w:w="120"/>
              <w:bottom w:type="dxa" w:w="80"/>
              <w:right w:type="dxa" w:w="120"/>
            </w:tcMar>
          </w:tcPr>
          <w:p>
            <w:r>
              <w:rPr>
                <w:b w:val="false"/>
                <w:bCs w:val="false"/>
                <w:color w:val="1A1A1A"/>
                <w:sz w:val="20"/>
                <w:szCs w:val="20"/>
              </w:rPr>
              <w:t xml:space="preserve">R-134a, 25 kg/year</w:t>
            </w:r>
          </w:p>
        </w:tc>
      </w:tr>
      <w:tr>
        <w:tc>
          <w:tcPr>
            <w:tcW w:type="dxa" w:w="2800"/>
            <w:shd w:fill="E6F5EE" w:val="clear"/>
            <w:tcMar>
              <w:top w:type="dxa" w:w="80"/>
              <w:left w:type="dxa" w:w="120"/>
              <w:bottom w:type="dxa" w:w="80"/>
              <w:right w:type="dxa" w:w="120"/>
            </w:tcMar>
          </w:tcPr>
          <w:p>
            <w:r>
              <w:rPr>
                <w:b/>
                <w:bCs/>
                <w:color w:val="0F6B49"/>
                <w:sz w:val="20"/>
                <w:szCs w:val="20"/>
              </w:rPr>
              <w:t xml:space="preserve">SBTi status</w:t>
            </w:r>
          </w:p>
        </w:tc>
        <w:tc>
          <w:tcPr>
            <w:tcW w:type="dxa" w:w="5700"/>
            <w:tcMar>
              <w:top w:type="dxa" w:w="80"/>
              <w:left w:type="dxa" w:w="120"/>
              <w:bottom w:type="dxa" w:w="80"/>
              <w:right w:type="dxa" w:w="120"/>
            </w:tcMar>
          </w:tcPr>
          <w:p>
            <w:r>
              <w:rPr>
                <w:b w:val="false"/>
                <w:bCs w:val="false"/>
                <w:color w:val="1A1A1A"/>
                <w:sz w:val="20"/>
                <w:szCs w:val="20"/>
              </w:rPr>
              <w:t xml:space="preserve">Committed, target year 2030</w:t>
            </w:r>
          </w:p>
        </w:tc>
      </w:tr>
      <w:tr>
        <w:tc>
          <w:tcPr>
            <w:tcW w:type="dxa" w:w="2800"/>
            <w:shd w:fill="E6F5EE" w:val="clear"/>
            <w:tcMar>
              <w:top w:type="dxa" w:w="80"/>
              <w:left w:type="dxa" w:w="120"/>
              <w:bottom w:type="dxa" w:w="80"/>
              <w:right w:type="dxa" w:w="120"/>
            </w:tcMar>
          </w:tcPr>
          <w:p>
            <w:r>
              <w:rPr>
                <w:b/>
                <w:bCs/>
                <w:color w:val="0F6B49"/>
                <w:sz w:val="20"/>
                <w:szCs w:val="20"/>
              </w:rPr>
              <w:t xml:space="preserve">Already deployed</w:t>
            </w:r>
          </w:p>
        </w:tc>
        <w:tc>
          <w:tcPr>
            <w:tcW w:type="dxa" w:w="5700"/>
            <w:tcMar>
              <w:top w:type="dxa" w:w="80"/>
              <w:left w:type="dxa" w:w="120"/>
              <w:bottom w:type="dxa" w:w="80"/>
              <w:right w:type="dxa" w:w="120"/>
            </w:tcMar>
          </w:tcPr>
          <w:p>
            <w:r>
              <w:rPr>
                <w:b w:val="false"/>
                <w:bCs w:val="false"/>
                <w:color w:val="1A1A1A"/>
                <w:sz w:val="20"/>
                <w:szCs w:val="20"/>
              </w:rPr>
              <w:t xml:space="preserve">Energy monitoring</w:t>
            </w:r>
          </w:p>
        </w:tc>
      </w:tr>
      <w:tr>
        <w:tc>
          <w:tcPr>
            <w:tcW w:type="dxa" w:w="2800"/>
            <w:shd w:fill="E6F5EE" w:val="clear"/>
            <w:tcMar>
              <w:top w:type="dxa" w:w="80"/>
              <w:left w:type="dxa" w:w="120"/>
              <w:bottom w:type="dxa" w:w="80"/>
              <w:right w:type="dxa" w:w="120"/>
            </w:tcMar>
          </w:tcPr>
          <w:p>
            <w:r>
              <w:rPr>
                <w:b/>
                <w:bCs/>
                <w:color w:val="0F6B49"/>
                <w:sz w:val="20"/>
                <w:szCs w:val="20"/>
              </w:rPr>
              <w:t xml:space="preserve">Supplier to SBTi buyer</w:t>
            </w:r>
          </w:p>
        </w:tc>
        <w:tc>
          <w:tcPr>
            <w:tcW w:type="dxa" w:w="5700"/>
            <w:tcMar>
              <w:top w:type="dxa" w:w="80"/>
              <w:left w:type="dxa" w:w="120"/>
              <w:bottom w:type="dxa" w:w="80"/>
              <w:right w:type="dxa" w:w="120"/>
            </w:tcMar>
          </w:tcPr>
          <w:p>
            <w:r>
              <w:rPr>
                <w:b w:val="false"/>
                <w:bCs w:val="false"/>
                <w:color w:val="1A1A1A"/>
                <w:sz w:val="20"/>
                <w:szCs w:val="20"/>
              </w:rPr>
              <w:t xml:space="preserve">Yes</w:t>
            </w:r>
          </w:p>
        </w:tc>
      </w:tr>
      <w:tr>
        <w:tc>
          <w:tcPr>
            <w:tcW w:type="dxa" w:w="2800"/>
            <w:shd w:fill="E6F5EE" w:val="clear"/>
            <w:tcMar>
              <w:top w:type="dxa" w:w="80"/>
              <w:left w:type="dxa" w:w="120"/>
              <w:bottom w:type="dxa" w:w="80"/>
              <w:right w:type="dxa" w:w="120"/>
            </w:tcMar>
          </w:tcPr>
          <w:p>
            <w:r>
              <w:rPr>
                <w:b/>
                <w:bCs/>
                <w:color w:val="0F6B49"/>
                <w:sz w:val="20"/>
                <w:szCs w:val="20"/>
              </w:rPr>
              <w:t xml:space="preserve">Est. investment</w:t>
            </w:r>
          </w:p>
        </w:tc>
        <w:tc>
          <w:tcPr>
            <w:tcW w:type="dxa" w:w="5700"/>
            <w:tcMar>
              <w:top w:type="dxa" w:w="80"/>
              <w:left w:type="dxa" w:w="120"/>
              <w:bottom w:type="dxa" w:w="80"/>
              <w:right w:type="dxa" w:w="120"/>
            </w:tcMar>
          </w:tcPr>
          <w:p>
            <w:r>
              <w:rPr>
                <w:b w:val="false"/>
                <w:bCs w:val="false"/>
                <w:color w:val="1A1A1A"/>
                <w:sz w:val="20"/>
                <w:szCs w:val="20"/>
              </w:rPr>
              <w:t xml:space="preserve">S$800,000</w:t>
            </w:r>
          </w:p>
        </w:tc>
      </w:tr>
    </w:tbl>
    <w:p>
      <w:pPr>
        <w:spacing w:after="100" w:before="240"/>
      </w:pPr>
      <w:r>
        <w:rPr>
          <w:b/>
          <w:bCs/>
          <w:color w:val="0F6B49"/>
          <w:sz w:val="24"/>
          <w:szCs w:val="24"/>
        </w:rPr>
        <w:t xml:space="preserve">Current situation — what they're paying / emitting today</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Current annual carbon cost</w:t>
            </w:r>
          </w:p>
        </w:tc>
        <w:tc>
          <w:tcPr>
            <w:tcW w:type="dxa" w:w="5700"/>
            <w:tcMar>
              <w:top w:type="dxa" w:w="80"/>
              <w:left w:type="dxa" w:w="120"/>
              <w:bottom w:type="dxa" w:w="80"/>
              <w:right w:type="dxa" w:w="120"/>
            </w:tcMar>
          </w:tcPr>
          <w:p>
            <w:r>
              <w:rPr>
                <w:b w:val="false"/>
                <w:bCs w:val="false"/>
                <w:color w:val="1A1A1A"/>
                <w:sz w:val="20"/>
                <w:szCs w:val="20"/>
              </w:rPr>
              <w:t xml:space="preserve">S$2,303,902</w:t>
            </w:r>
          </w:p>
        </w:tc>
      </w:tr>
      <w:tr>
        <w:tc>
          <w:tcPr>
            <w:tcW w:type="dxa" w:w="2800"/>
            <w:shd w:fill="E6F5EE" w:val="clear"/>
            <w:tcMar>
              <w:top w:type="dxa" w:w="80"/>
              <w:left w:type="dxa" w:w="120"/>
              <w:bottom w:type="dxa" w:w="80"/>
              <w:right w:type="dxa" w:w="120"/>
            </w:tcMar>
          </w:tcPr>
          <w:p>
            <w:r>
              <w:rPr>
                <w:b/>
                <w:bCs/>
                <w:color w:val="0F6B49"/>
                <w:sz w:val="20"/>
                <w:szCs w:val="20"/>
              </w:rPr>
              <w:t xml:space="preserve">Scope 1 (direct — fuel, refrigerants, gas)</w:t>
            </w:r>
          </w:p>
        </w:tc>
        <w:tc>
          <w:tcPr>
            <w:tcW w:type="dxa" w:w="5700"/>
            <w:tcMar>
              <w:top w:type="dxa" w:w="80"/>
              <w:left w:type="dxa" w:w="120"/>
              <w:bottom w:type="dxa" w:w="80"/>
              <w:right w:type="dxa" w:w="120"/>
            </w:tcMar>
          </w:tcPr>
          <w:p>
            <w:r>
              <w:rPr>
                <w:b w:val="false"/>
                <w:bCs w:val="false"/>
                <w:color w:val="1A1A1A"/>
                <w:sz w:val="20"/>
                <w:szCs w:val="20"/>
              </w:rPr>
              <w:t xml:space="preserve">393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2 (purchased electricity)</w:t>
            </w:r>
          </w:p>
        </w:tc>
        <w:tc>
          <w:tcPr>
            <w:tcW w:type="dxa" w:w="5700"/>
            <w:tcMar>
              <w:top w:type="dxa" w:w="80"/>
              <w:left w:type="dxa" w:w="120"/>
              <w:bottom w:type="dxa" w:w="80"/>
              <w:right w:type="dxa" w:w="120"/>
            </w:tcMar>
          </w:tcPr>
          <w:p>
            <w:r>
              <w:rPr>
                <w:b w:val="false"/>
                <w:bCs w:val="false"/>
                <w:color w:val="1A1A1A"/>
                <w:sz w:val="20"/>
                <w:szCs w:val="20"/>
              </w:rPr>
              <w:t xml:space="preserve">2,902 tCO2e</w:t>
            </w:r>
          </w:p>
        </w:tc>
      </w:tr>
      <w:tr>
        <w:tc>
          <w:tcPr>
            <w:tcW w:type="dxa" w:w="2800"/>
            <w:shd w:fill="E6F5EE" w:val="clear"/>
            <w:tcMar>
              <w:top w:type="dxa" w:w="80"/>
              <w:left w:type="dxa" w:w="120"/>
              <w:bottom w:type="dxa" w:w="80"/>
              <w:right w:type="dxa" w:w="120"/>
            </w:tcMar>
          </w:tcPr>
          <w:p>
            <w:r>
              <w:rPr>
                <w:b/>
                <w:bCs/>
                <w:color w:val="0F6B49"/>
                <w:sz w:val="20"/>
                <w:szCs w:val="20"/>
              </w:rPr>
              <w:t xml:space="preserve">Total Scope 1+2</w:t>
            </w:r>
          </w:p>
        </w:tc>
        <w:tc>
          <w:tcPr>
            <w:tcW w:type="dxa" w:w="5700"/>
            <w:tcMar>
              <w:top w:type="dxa" w:w="80"/>
              <w:left w:type="dxa" w:w="120"/>
              <w:bottom w:type="dxa" w:w="80"/>
              <w:right w:type="dxa" w:w="120"/>
            </w:tcMar>
          </w:tcPr>
          <w:p>
            <w:r>
              <w:rPr>
                <w:b w:val="false"/>
                <w:bCs w:val="false"/>
                <w:color w:val="1A1A1A"/>
                <w:sz w:val="20"/>
                <w:szCs w:val="20"/>
              </w:rPr>
              <w:t xml:space="preserve">3,295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3 (value chain, context only)</w:t>
            </w:r>
          </w:p>
        </w:tc>
        <w:tc>
          <w:tcPr>
            <w:tcW w:type="dxa" w:w="5700"/>
            <w:tcMar>
              <w:top w:type="dxa" w:w="80"/>
              <w:left w:type="dxa" w:w="120"/>
              <w:bottom w:type="dxa" w:w="80"/>
              <w:right w:type="dxa" w:w="120"/>
            </w:tcMar>
          </w:tcPr>
          <w:p>
            <w:r>
              <w:rPr>
                <w:b w:val="false"/>
                <w:bCs w:val="false"/>
                <w:color w:val="1A1A1A"/>
                <w:sz w:val="20"/>
                <w:szCs w:val="20"/>
              </w:rPr>
              <w:t xml:space="preserve">15,905 tCO2e</w:t>
            </w:r>
          </w:p>
        </w:tc>
      </w:tr>
      <w:tr>
        <w:tc>
          <w:tcPr>
            <w:tcW w:type="dxa" w:w="2800"/>
            <w:shd w:fill="E6F5EE" w:val="clear"/>
            <w:tcMar>
              <w:top w:type="dxa" w:w="80"/>
              <w:left w:type="dxa" w:w="120"/>
              <w:bottom w:type="dxa" w:w="80"/>
              <w:right w:type="dxa" w:w="120"/>
            </w:tcMar>
          </w:tcPr>
          <w:p>
            <w:r>
              <w:rPr>
                <w:b/>
                <w:bCs/>
                <w:color w:val="0F6B49"/>
                <w:sz w:val="20"/>
                <w:szCs w:val="20"/>
              </w:rPr>
              <w:t xml:space="preserve">Sector position</w:t>
            </w:r>
          </w:p>
        </w:tc>
        <w:tc>
          <w:tcPr>
            <w:tcW w:type="dxa" w:w="5700"/>
            <w:tcMar>
              <w:top w:type="dxa" w:w="80"/>
              <w:left w:type="dxa" w:w="120"/>
              <w:bottom w:type="dxa" w:w="80"/>
              <w:right w:type="dxa" w:w="120"/>
            </w:tcMar>
          </w:tcPr>
          <w:p>
            <w:r>
              <w:rPr>
                <w:b w:val="false"/>
                <w:bCs w:val="false"/>
                <w:color w:val="1A1A1A"/>
                <w:sz w:val="20"/>
                <w:szCs w:val="20"/>
              </w:rPr>
              <w:t xml:space="preserve">Worst quartile of sector — high savings potential</w:t>
            </w:r>
          </w:p>
        </w:tc>
      </w:tr>
      <w:tr>
        <w:tc>
          <w:tcPr>
            <w:tcW w:type="dxa" w:w="2800"/>
            <w:shd w:fill="E6F5EE" w:val="clear"/>
            <w:tcMar>
              <w:top w:type="dxa" w:w="80"/>
              <w:left w:type="dxa" w:w="120"/>
              <w:bottom w:type="dxa" w:w="80"/>
              <w:right w:type="dxa" w:w="120"/>
            </w:tcMar>
          </w:tcPr>
          <w:p>
            <w:r>
              <w:rPr>
                <w:b/>
                <w:bCs/>
                <w:color w:val="0F6B49"/>
                <w:sz w:val="20"/>
                <w:szCs w:val="20"/>
              </w:rPr>
              <w:t xml:space="preserve">Direct carbon taxpayer?</w:t>
            </w:r>
          </w:p>
        </w:tc>
        <w:tc>
          <w:tcPr>
            <w:tcW w:type="dxa" w:w="5700"/>
            <w:tcMar>
              <w:top w:type="dxa" w:w="80"/>
              <w:left w:type="dxa" w:w="120"/>
              <w:bottom w:type="dxa" w:w="80"/>
              <w:right w:type="dxa" w:w="120"/>
            </w:tcMar>
          </w:tcPr>
          <w:p>
            <w:r>
              <w:rPr>
                <w:b w:val="false"/>
                <w:bCs w:val="false"/>
                <w:color w:val="1A1A1A"/>
                <w:sz w:val="20"/>
                <w:szCs w:val="20"/>
              </w:rPr>
              <w:t xml:space="preserve">No — pass-through only, already in tariff</w:t>
            </w:r>
          </w:p>
        </w:tc>
      </w:tr>
    </w:tbl>
    <w:p>
      <w:pPr>
        <w:spacing w:after="100" w:before="240"/>
      </w:pPr>
      <w:r>
        <w:rPr>
          <w:b/>
          <w:bCs/>
          <w:color w:val="0F6B49"/>
          <w:sz w:val="24"/>
          <w:szCs w:val="24"/>
        </w:rPr>
        <w:t xml:space="preserve">Potential — what they could save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Estimated Year-1 saving</w:t>
            </w:r>
          </w:p>
        </w:tc>
        <w:tc>
          <w:tcPr>
            <w:tcW w:type="dxa" w:w="5700"/>
            <w:tcMar>
              <w:top w:type="dxa" w:w="80"/>
              <w:left w:type="dxa" w:w="120"/>
              <w:bottom w:type="dxa" w:w="80"/>
              <w:right w:type="dxa" w:w="120"/>
            </w:tcMar>
          </w:tcPr>
          <w:p>
            <w:r>
              <w:rPr>
                <w:b w:val="false"/>
                <w:bCs w:val="false"/>
                <w:color w:val="1A1A1A"/>
                <w:sz w:val="20"/>
                <w:szCs w:val="20"/>
              </w:rPr>
              <w:t xml:space="preserve">S$423,956 – S$880,525</w:t>
            </w:r>
          </w:p>
        </w:tc>
      </w:tr>
      <w:tr>
        <w:tc>
          <w:tcPr>
            <w:tcW w:type="dxa" w:w="2800"/>
            <w:shd w:fill="E6F5EE" w:val="clear"/>
            <w:tcMar>
              <w:top w:type="dxa" w:w="80"/>
              <w:left w:type="dxa" w:w="120"/>
              <w:bottom w:type="dxa" w:w="80"/>
              <w:right w:type="dxa" w:w="120"/>
            </w:tcMar>
          </w:tcPr>
          <w:p>
            <w:r>
              <w:rPr>
                <w:b/>
                <w:bCs/>
                <w:color w:val="0F6B49"/>
                <w:sz w:val="20"/>
                <w:szCs w:val="20"/>
              </w:rPr>
              <w:t xml:space="preserve">Estimated 10-year cumulative saving</w:t>
            </w:r>
          </w:p>
        </w:tc>
        <w:tc>
          <w:tcPr>
            <w:tcW w:type="dxa" w:w="5700"/>
            <w:tcMar>
              <w:top w:type="dxa" w:w="80"/>
              <w:left w:type="dxa" w:w="120"/>
              <w:bottom w:type="dxa" w:w="80"/>
              <w:right w:type="dxa" w:w="120"/>
            </w:tcMar>
          </w:tcPr>
          <w:p>
            <w:r>
              <w:rPr>
                <w:b w:val="false"/>
                <w:bCs w:val="false"/>
                <w:color w:val="1A1A1A"/>
                <w:sz w:val="20"/>
                <w:szCs w:val="20"/>
              </w:rPr>
              <w:t xml:space="preserve">S$4,239,563 – S$8,805,245</w:t>
            </w:r>
          </w:p>
        </w:tc>
      </w:tr>
      <w:tr>
        <w:tc>
          <w:tcPr>
            <w:tcW w:type="dxa" w:w="2800"/>
            <w:shd w:fill="E6F5EE" w:val="clear"/>
            <w:tcMar>
              <w:top w:type="dxa" w:w="80"/>
              <w:left w:type="dxa" w:w="120"/>
              <w:bottom w:type="dxa" w:w="80"/>
              <w:right w:type="dxa" w:w="120"/>
            </w:tcMar>
          </w:tcPr>
          <w:p>
            <w:r>
              <w:rPr>
                <w:b/>
                <w:bCs/>
                <w:color w:val="0F6B49"/>
                <w:sz w:val="20"/>
                <w:szCs w:val="20"/>
              </w:rPr>
              <w:t xml:space="preserve">Payback period</w:t>
            </w:r>
          </w:p>
        </w:tc>
        <w:tc>
          <w:tcPr>
            <w:tcW w:type="dxa" w:w="5700"/>
            <w:tcMar>
              <w:top w:type="dxa" w:w="80"/>
              <w:left w:type="dxa" w:w="120"/>
              <w:bottom w:type="dxa" w:w="80"/>
              <w:right w:type="dxa" w:w="120"/>
            </w:tcMar>
          </w:tcPr>
          <w:p>
            <w:r>
              <w:rPr>
                <w:b w:val="false"/>
                <w:bCs w:val="false"/>
                <w:color w:val="1A1A1A"/>
                <w:sz w:val="20"/>
                <w:szCs w:val="20"/>
              </w:rPr>
              <w:t xml:space="preserve">1.2 years</w:t>
            </w:r>
          </w:p>
        </w:tc>
      </w:tr>
      <w:tr>
        <w:tc>
          <w:tcPr>
            <w:tcW w:type="dxa" w:w="2800"/>
            <w:shd w:fill="E6F5EE" w:val="clear"/>
            <w:tcMar>
              <w:top w:type="dxa" w:w="80"/>
              <w:left w:type="dxa" w:w="120"/>
              <w:bottom w:type="dxa" w:w="80"/>
              <w:right w:type="dxa" w:w="120"/>
            </w:tcMar>
          </w:tcPr>
          <w:p>
            <w:r>
              <w:rPr>
                <w:b/>
                <w:bCs/>
                <w:color w:val="0F6B49"/>
                <w:sz w:val="20"/>
                <w:szCs w:val="20"/>
              </w:rPr>
              <w:t xml:space="preserve">Applied energy-saving rate</w:t>
            </w:r>
          </w:p>
        </w:tc>
        <w:tc>
          <w:tcPr>
            <w:tcW w:type="dxa" w:w="5700"/>
            <w:tcMar>
              <w:top w:type="dxa" w:w="80"/>
              <w:left w:type="dxa" w:w="120"/>
              <w:bottom w:type="dxa" w:w="80"/>
              <w:right w:type="dxa" w:w="120"/>
            </w:tcMar>
          </w:tcPr>
          <w:p>
            <w:r>
              <w:rPr>
                <w:b w:val="false"/>
                <w:bCs w:val="false"/>
                <w:color w:val="1A1A1A"/>
                <w:sz w:val="20"/>
                <w:szCs w:val="20"/>
              </w:rPr>
              <w:t xml:space="preserve">28%</w:t>
            </w:r>
          </w:p>
        </w:tc>
      </w:tr>
      <w:tr>
        <w:tc>
          <w:tcPr>
            <w:tcW w:type="dxa" w:w="2800"/>
            <w:shd w:fill="E6F5EE" w:val="clear"/>
            <w:tcMar>
              <w:top w:type="dxa" w:w="80"/>
              <w:left w:type="dxa" w:w="120"/>
              <w:bottom w:type="dxa" w:w="80"/>
              <w:right w:type="dxa" w:w="120"/>
            </w:tcMar>
          </w:tcPr>
          <w:p>
            <w:r>
              <w:rPr>
                <w:b/>
                <w:bCs/>
                <w:color w:val="0F6B49"/>
                <w:sz w:val="20"/>
                <w:szCs w:val="20"/>
              </w:rPr>
              <w:t xml:space="preserve">Confidence level</w:t>
            </w:r>
          </w:p>
        </w:tc>
        <w:tc>
          <w:tcPr>
            <w:tcW w:type="dxa" w:w="5700"/>
            <w:tcMar>
              <w:top w:type="dxa" w:w="80"/>
              <w:left w:type="dxa" w:w="120"/>
              <w:bottom w:type="dxa" w:w="80"/>
              <w:right w:type="dxa" w:w="120"/>
            </w:tcMar>
          </w:tcPr>
          <w:p>
            <w:r>
              <w:rPr>
                <w:b w:val="false"/>
                <w:bCs w:val="false"/>
                <w:color w:val="1A1A1A"/>
                <w:sz w:val="20"/>
                <w:szCs w:val="20"/>
              </w:rPr>
              <w:t xml:space="preserve">Low (±35% range shown above for Low; see reasons below)</w:t>
            </w:r>
          </w:p>
        </w:tc>
      </w:tr>
    </w:tbl>
    <w:p>
      <w:pPr>
        <w:pStyle w:val="ListParagraph"/>
        <w:numPr>
          <w:ilvl w:val="0"/>
          <w:numId w:val="1"/>
        </w:numPr>
        <w:spacing w:after="60"/>
      </w:pPr>
      <w:r>
        <w:rPr>
          <w:color w:val="1A1A1A"/>
          <w:sz w:val="20"/>
          <w:szCs w:val="20"/>
        </w:rPr>
        <w:t xml:space="preserve">One or more sites use the reference tariff instead of an actual contract rate</w:t>
      </w:r>
    </w:p>
    <w:p>
      <w:pPr>
        <w:pStyle w:val="ListParagraph"/>
        <w:numPr>
          <w:ilvl w:val="0"/>
          <w:numId w:val="1"/>
        </w:numPr>
        <w:spacing w:after="60"/>
      </w:pPr>
      <w:r>
        <w:rPr>
          <w:color w:val="1A1A1A"/>
          <w:sz w:val="20"/>
          <w:szCs w:val="20"/>
        </w:rPr>
        <w:t xml:space="preserve">Scope 3 Cat 1/4/9 uses spend-based EEIO factors (±35%), not supplier- or shipment-level activity data</w:t>
      </w:r>
    </w:p>
    <w:p>
      <w:pPr>
        <w:spacing w:after="100" w:before="240"/>
      </w:pPr>
      <w:r>
        <w:rPr>
          <w:b/>
          <w:bCs/>
          <w:color w:val="0F6B49"/>
          <w:sz w:val="24"/>
          <w:szCs w:val="24"/>
        </w:rPr>
        <w:t xml:space="preserve">Target tracking</w:t>
      </w:r>
    </w:p>
    <w:p>
      <w:pPr>
        <w:spacing w:after="160"/>
      </w:pPr>
      <w:r>
        <w:rPr>
          <w:i w:val="false"/>
          <w:iCs w:val="false"/>
          <w:color w:val="1A1A1A"/>
          <w:sz w:val="21"/>
          <w:szCs w:val="21"/>
        </w:rPr>
        <w:t xml:space="preserve">Against an implied 17% reduction target by 2030, this plan is projected to avoid 772 tCO2e/year versus the 554 tCO2e/year required — currently ON TRACK on energy efficiency alone.</w:t>
      </w:r>
    </w:p>
    <w:p>
      <w:pPr>
        <w:spacing w:after="100" w:before="240"/>
      </w:pPr>
      <w:r>
        <w:rPr>
          <w:b/>
          <w:bCs/>
          <w:color w:val="0F6B49"/>
          <w:sz w:val="24"/>
          <w:szCs w:val="24"/>
        </w:rPr>
        <w:t xml:space="preserve">What needs to be done</w:t>
      </w:r>
    </w:p>
    <w:p>
      <w:pPr>
        <w:pStyle w:val="ListParagraph"/>
        <w:numPr>
          <w:ilvl w:val="0"/>
          <w:numId w:val="1"/>
        </w:numPr>
        <w:spacing w:after="60"/>
      </w:pPr>
      <w:r>
        <w:rPr>
          <w:color w:val="1A1A1A"/>
          <w:sz w:val="20"/>
          <w:szCs w:val="20"/>
        </w:rPr>
        <w:t xml:space="preserve">EcoStruxure Building Operation (EBO) (primary)</w:t>
      </w:r>
    </w:p>
    <w:p>
      <w:pPr>
        <w:pStyle w:val="ListParagraph"/>
        <w:numPr>
          <w:ilvl w:val="0"/>
          <w:numId w:val="1"/>
        </w:numPr>
        <w:spacing w:after="60"/>
      </w:pPr>
      <w:r>
        <w:rPr>
          <w:color w:val="1A1A1A"/>
          <w:sz w:val="20"/>
          <w:szCs w:val="20"/>
        </w:rPr>
        <w:t xml:space="preserve">EcoStruxure Microgrid / EaaS (add-on)</w:t>
      </w:r>
    </w:p>
    <w:p>
      <w:pPr>
        <w:pStyle w:val="ListParagraph"/>
        <w:numPr>
          <w:ilvl w:val="0"/>
          <w:numId w:val="1"/>
        </w:numPr>
        <w:spacing w:after="60"/>
      </w:pPr>
      <w:r>
        <w:rPr>
          <w:color w:val="1A1A1A"/>
          <w:sz w:val="20"/>
          <w:szCs w:val="20"/>
        </w:rPr>
        <w:t xml:space="preserve">EcoStruxure Power (PowerLogic metering) (add-on)</w:t>
      </w:r>
    </w:p>
    <w:p>
      <w:pPr>
        <w:pStyle w:val="ListParagraph"/>
        <w:numPr>
          <w:ilvl w:val="0"/>
          <w:numId w:val="1"/>
        </w:numPr>
        <w:spacing w:after="60"/>
      </w:pPr>
      <w:r>
        <w:rPr>
          <w:color w:val="1A1A1A"/>
          <w:sz w:val="20"/>
          <w:szCs w:val="20"/>
        </w:rPr>
        <w:t xml:space="preserve">Schneider Sustainability Business / Net Zero Advisory (add-on)</w:t>
      </w:r>
    </w:p>
    <w:p>
      <w:pPr>
        <w:pStyle w:val="ListParagraph"/>
        <w:numPr>
          <w:ilvl w:val="0"/>
          <w:numId w:val="1"/>
        </w:numPr>
        <w:spacing w:after="60"/>
      </w:pPr>
      <w:r>
        <w:rPr>
          <w:color w:val="1A1A1A"/>
          <w:sz w:val="20"/>
          <w:szCs w:val="20"/>
        </w:rPr>
        <w:t xml:space="preserve">EcoStruxure Resource Advisor (Scope 3 module) (scope3)</w:t>
      </w:r>
    </w:p>
    <w:p>
      <w:pPr>
        <w:spacing w:after="100" w:before="240"/>
      </w:pPr>
      <w:r>
        <w:rPr>
          <w:b/>
          <w:bCs/>
          <w:color w:val="0F6B49"/>
          <w:sz w:val="24"/>
          <w:szCs w:val="24"/>
        </w:rPr>
        <w:t xml:space="preserve">Regulatory / compliance flags</w:t>
      </w:r>
    </w:p>
    <w:p>
      <w:pPr>
        <w:pStyle w:val="ListParagraph"/>
        <w:numPr>
          <w:ilvl w:val="0"/>
          <w:numId w:val="1"/>
        </w:numPr>
        <w:spacing w:after="60"/>
      </w:pPr>
      <w:r>
        <w:rPr>
          <w:color w:val="1A1A1A"/>
          <w:sz w:val="20"/>
          <w:szCs w:val="20"/>
        </w:rPr>
        <w:t xml:space="preserve">green: Not a direct carbon taxpayer</w:t>
      </w:r>
    </w:p>
    <w:p>
      <w:pPr>
        <w:pStyle w:val="ListParagraph"/>
        <w:numPr>
          <w:ilvl w:val="0"/>
          <w:numId w:val="1"/>
        </w:numPr>
        <w:spacing w:after="60"/>
      </w:pPr>
      <w:r>
        <w:rPr>
          <w:color w:val="1A1A1A"/>
          <w:sz w:val="20"/>
          <w:szCs w:val="20"/>
        </w:rPr>
        <w:t xml:space="preserve">green: SBTi-committed</w:t>
      </w:r>
    </w:p>
    <w:p>
      <w:pPr>
        <w:pStyle w:val="ListParagraph"/>
        <w:numPr>
          <w:ilvl w:val="0"/>
          <w:numId w:val="1"/>
        </w:numPr>
        <w:spacing w:after="60"/>
      </w:pPr>
      <w:r>
        <w:rPr>
          <w:color w:val="1A1A1A"/>
          <w:sz w:val="20"/>
          <w:szCs w:val="20"/>
        </w:rPr>
        <w:t xml:space="preserve">yellow: Scope 3 downstream pressure</w:t>
      </w:r>
    </w:p>
    <w:p>
      <w:pPr>
        <w:spacing w:after="100" w:before="240"/>
      </w:pPr>
      <w:r>
        <w:rPr>
          <w:b/>
          <w:bCs/>
          <w:color w:val="0F6B49"/>
          <w:sz w:val="24"/>
          <w:szCs w:val="24"/>
        </w:rPr>
        <w:t xml:space="preserve">Plain-English summary (as shown to the client)</w:t>
      </w:r>
    </w:p>
    <w:p>
      <w:pPr>
        <w:spacing w:after="160"/>
      </w:pPr>
      <w:r>
        <w:rPr>
          <w:i w:val="false"/>
          <w:iCs w:val="false"/>
          <w:color w:val="1A1A1A"/>
          <w:sz w:val="21"/>
          <w:szCs w:val="21"/>
        </w:rPr>
        <w:t xml:space="preserve">Meridian Textiles Group Pte Ltd — a Manufacturing business across 2 Singapore site(s) with 450 employees — emits approximately 3,295 tCO₂e/year across Scope 1 and 2. By deploying EcoStruxure Building Operation (EBO) alongside EcoStruxure Microgrid / EaaS and EcoStruxure Power (PowerLogic metering) and Schneider Sustainability Business / Net Zero Advisory, you could save an estimated S$652,240 per year on energy costs. Your direct (Scope 1) emissions are below the 25,000 tCO2e/year carbon tax threshold, so no separate carbon tax saving is shown — that cost is already embedded in the electricity tariff used above. At your stated investment level, payback is approximately 1.2 years. This fits your preferred "EaaS" engagement model within your stated 500k-5M budget range. Over 10 years, the cumulative financial benefit is estimated at S$4,239,563 to S$8,805,245. Your Scope 3 footprint across the 6 priority categories is estimated at ~15,905 tCO₂e/year — identified but not included in the financial saving. EcoStruxure Resource Advisor can help track and report this for CDP purposes.</w:t>
      </w:r>
    </w:p>
    <w:p>
      <w:pPr>
        <w:spacing w:after="100" w:before="240"/>
      </w:pPr>
      <w:r>
        <w:rPr>
          <w:b/>
          <w:bCs/>
          <w:color w:val="0F6B49"/>
          <w:sz w:val="24"/>
          <w:szCs w:val="24"/>
        </w:rPr>
        <w:t xml:space="preserve">Key caveats disclosed to the user</w:t>
      </w:r>
    </w:p>
    <w:p>
      <w:pPr>
        <w:pStyle w:val="ListParagraph"/>
        <w:numPr>
          <w:ilvl w:val="0"/>
          <w:numId w:val="1"/>
        </w:numPr>
        <w:spacing w:after="60"/>
      </w:pPr>
      <w:r>
        <w:rPr>
          <w:color w:val="1A1A1A"/>
          <w:sz w:val="20"/>
          <w:szCs w:val="20"/>
        </w:rPr>
        <w:t xml:space="preserve">Process combustion uses the natural gas factor as a proxy since fuel type wasn't specified — refine with actual fuel mix for compliance-grade reporting.</w:t>
      </w:r>
    </w:p>
    <w:p>
      <w:pPr>
        <w:pStyle w:val="ListParagraph"/>
        <w:numPr>
          <w:ilvl w:val="0"/>
          <w:numId w:val="1"/>
        </w:numPr>
        <w:spacing w:after="60"/>
      </w:pPr>
      <w:r>
        <w:rPr>
          <w:color w:val="1A1A1A"/>
          <w:sz w:val="20"/>
          <w:szCs w:val="20"/>
        </w:rPr>
        <w:t xml:space="preserve">No separate carbon tax saving is shown: Singapore's carbon tax applies only to ~50 large facilities with ≥25,000 tCO2e/year of direct (Scope 1) emissions. Your exposure is a small pass-through already reflected in your electricity tariffs — showing it twice would double-count the same cost.</w:t>
      </w:r>
    </w:p>
    <w:p>
      <w:pPr>
        <w:pStyle w:val="ListParagraph"/>
        <w:numPr>
          <w:ilvl w:val="0"/>
          <w:numId w:val="1"/>
        </w:numPr>
        <w:spacing w:after="60"/>
      </w:pPr>
      <w:r>
        <w:rPr>
          <w:color w:val="1A1A1A"/>
          <w:sz w:val="20"/>
          <w:szCs w:val="20"/>
        </w:rPr>
        <w:t xml:space="preserve">Hotel-night emissions use an indicative industry-average factor, not a DEFRA-sourced figure.</w:t>
      </w:r>
    </w:p>
    <w:p>
      <w:pPr>
        <w:pStyle w:val="ListParagraph"/>
        <w:numPr>
          <w:ilvl w:val="0"/>
          <w:numId w:val="1"/>
        </w:numPr>
        <w:spacing w:after="60"/>
      </w:pPr>
      <w:r>
        <w:rPr>
          <w:color w:val="1A1A1A"/>
          <w:sz w:val="20"/>
          <w:szCs w:val="20"/>
        </w:rPr>
        <w:t xml:space="preserve">Employee commuting uses placeholder per-mode emission factors pending DEFRA-sourced sign-off — see data/scope3_factors.json.</w:t>
      </w:r>
    </w:p>
    <w:p>
      <w:r>
        <w:br w:type="page"/>
      </w:r>
    </w:p>
    <w:p>
      <w:pPr>
        <w:pStyle w:val="Heading2"/>
        <w:spacing w:after="150" w:before="300"/>
      </w:pPr>
      <w:r>
        <w:t xml:space="preserve">Marina Bay Hospitality Group (Hospitality MNC)</w:t>
      </w:r>
    </w:p>
    <w:p>
      <w:pPr>
        <w:spacing w:after="100" w:before="240"/>
      </w:pPr>
      <w:r>
        <w:rPr>
          <w:b/>
          <w:bCs/>
          <w:color w:val="0F6B49"/>
          <w:sz w:val="24"/>
          <w:szCs w:val="24"/>
        </w:rPr>
        <w:t xml:space="preserve">Company profile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Sector</w:t>
            </w:r>
          </w:p>
        </w:tc>
        <w:tc>
          <w:tcPr>
            <w:tcW w:type="dxa" w:w="5700"/>
            <w:tcMar>
              <w:top w:type="dxa" w:w="80"/>
              <w:left w:type="dxa" w:w="120"/>
              <w:bottom w:type="dxa" w:w="80"/>
              <w:right w:type="dxa" w:w="120"/>
            </w:tcMar>
          </w:tcPr>
          <w:p>
            <w:r>
              <w:rPr>
                <w:b w:val="false"/>
                <w:bCs w:val="false"/>
                <w:color w:val="1A1A1A"/>
                <w:sz w:val="20"/>
                <w:szCs w:val="20"/>
              </w:rPr>
              <w:t xml:space="preserve">Hospitality (hotel &amp; resort group)</w:t>
            </w:r>
          </w:p>
        </w:tc>
      </w:tr>
      <w:tr>
        <w:tc>
          <w:tcPr>
            <w:tcW w:type="dxa" w:w="2800"/>
            <w:shd w:fill="E6F5EE" w:val="clear"/>
            <w:tcMar>
              <w:top w:type="dxa" w:w="80"/>
              <w:left w:type="dxa" w:w="120"/>
              <w:bottom w:type="dxa" w:w="80"/>
              <w:right w:type="dxa" w:w="120"/>
            </w:tcMar>
          </w:tcPr>
          <w:p>
            <w:r>
              <w:rPr>
                <w:b/>
                <w:bCs/>
                <w:color w:val="0F6B49"/>
                <w:sz w:val="20"/>
                <w:szCs w:val="20"/>
              </w:rPr>
              <w:t xml:space="preserve">Sites</w:t>
            </w:r>
          </w:p>
        </w:tc>
        <w:tc>
          <w:tcPr>
            <w:tcW w:type="dxa" w:w="5700"/>
            <w:tcMar>
              <w:top w:type="dxa" w:w="80"/>
              <w:left w:type="dxa" w:w="120"/>
              <w:bottom w:type="dxa" w:w="80"/>
              <w:right w:type="dxa" w:w="120"/>
            </w:tcMar>
          </w:tcPr>
          <w:p>
            <w:r>
              <w:rPr>
                <w:b w:val="false"/>
                <w:bCs w:val="false"/>
                <w:color w:val="1A1A1A"/>
                <w:sz w:val="20"/>
                <w:szCs w:val="20"/>
              </w:rPr>
              <w:t xml:space="preserve">3 (Marina Bay Hotel, Orchard Tower Hotel, Sentosa Resort)</w:t>
            </w:r>
          </w:p>
        </w:tc>
      </w:tr>
      <w:tr>
        <w:tc>
          <w:tcPr>
            <w:tcW w:type="dxa" w:w="2800"/>
            <w:shd w:fill="E6F5EE" w:val="clear"/>
            <w:tcMar>
              <w:top w:type="dxa" w:w="80"/>
              <w:left w:type="dxa" w:w="120"/>
              <w:bottom w:type="dxa" w:w="80"/>
              <w:right w:type="dxa" w:w="120"/>
            </w:tcMar>
          </w:tcPr>
          <w:p>
            <w:r>
              <w:rPr>
                <w:b/>
                <w:bCs/>
                <w:color w:val="0F6B49"/>
                <w:sz w:val="20"/>
                <w:szCs w:val="20"/>
              </w:rPr>
              <w:t xml:space="preserve">Employees</w:t>
            </w:r>
          </w:p>
        </w:tc>
        <w:tc>
          <w:tcPr>
            <w:tcW w:type="dxa" w:w="5700"/>
            <w:tcMar>
              <w:top w:type="dxa" w:w="80"/>
              <w:left w:type="dxa" w:w="120"/>
              <w:bottom w:type="dxa" w:w="80"/>
              <w:right w:type="dxa" w:w="120"/>
            </w:tcMar>
          </w:tcPr>
          <w:p>
            <w:r>
              <w:rPr>
                <w:b w:val="false"/>
                <w:bCs w:val="false"/>
                <w:color w:val="1A1A1A"/>
                <w:sz w:val="20"/>
                <w:szCs w:val="20"/>
              </w:rPr>
              <w:t xml:space="preserve">850</w:t>
            </w:r>
          </w:p>
        </w:tc>
      </w:tr>
      <w:tr>
        <w:tc>
          <w:tcPr>
            <w:tcW w:type="dxa" w:w="2800"/>
            <w:shd w:fill="E6F5EE" w:val="clear"/>
            <w:tcMar>
              <w:top w:type="dxa" w:w="80"/>
              <w:left w:type="dxa" w:w="120"/>
              <w:bottom w:type="dxa" w:w="80"/>
              <w:right w:type="dxa" w:w="120"/>
            </w:tcMar>
          </w:tcPr>
          <w:p>
            <w:r>
              <w:rPr>
                <w:b/>
                <w:bCs/>
                <w:color w:val="0F6B49"/>
                <w:sz w:val="20"/>
                <w:szCs w:val="20"/>
              </w:rPr>
              <w:t xml:space="preserve">Annual revenue</w:t>
            </w:r>
          </w:p>
        </w:tc>
        <w:tc>
          <w:tcPr>
            <w:tcW w:type="dxa" w:w="5700"/>
            <w:tcMar>
              <w:top w:type="dxa" w:w="80"/>
              <w:left w:type="dxa" w:w="120"/>
              <w:bottom w:type="dxa" w:w="80"/>
              <w:right w:type="dxa" w:w="120"/>
            </w:tcMar>
          </w:tcPr>
          <w:p>
            <w:r>
              <w:rPr>
                <w:b w:val="false"/>
                <w:bCs w:val="false"/>
                <w:color w:val="1A1A1A"/>
                <w:sz w:val="20"/>
                <w:szCs w:val="20"/>
              </w:rPr>
              <w:t xml:space="preserve">S$180,000,000</w:t>
            </w:r>
          </w:p>
        </w:tc>
      </w:tr>
      <w:tr>
        <w:tc>
          <w:tcPr>
            <w:tcW w:type="dxa" w:w="2800"/>
            <w:shd w:fill="E6F5EE" w:val="clear"/>
            <w:tcMar>
              <w:top w:type="dxa" w:w="80"/>
              <w:left w:type="dxa" w:w="120"/>
              <w:bottom w:type="dxa" w:w="80"/>
              <w:right w:type="dxa" w:w="120"/>
            </w:tcMar>
          </w:tcPr>
          <w:p>
            <w:r>
              <w:rPr>
                <w:b/>
                <w:bCs/>
                <w:color w:val="0F6B49"/>
                <w:sz w:val="20"/>
                <w:szCs w:val="20"/>
              </w:rPr>
              <w:t xml:space="preserve">Electricity</w:t>
            </w:r>
          </w:p>
        </w:tc>
        <w:tc>
          <w:tcPr>
            <w:tcW w:type="dxa" w:w="5700"/>
            <w:tcMar>
              <w:top w:type="dxa" w:w="80"/>
              <w:left w:type="dxa" w:w="120"/>
              <w:bottom w:type="dxa" w:w="80"/>
              <w:right w:type="dxa" w:w="120"/>
            </w:tcMar>
          </w:tcPr>
          <w:p>
            <w:r>
              <w:rPr>
                <w:b w:val="false"/>
                <w:bCs w:val="false"/>
                <w:color w:val="1A1A1A"/>
                <w:sz w:val="20"/>
                <w:szCs w:val="20"/>
              </w:rPr>
              <w:t xml:space="preserve">15M + 12M + 18M kWh/year across 3 sites</w:t>
            </w:r>
          </w:p>
        </w:tc>
      </w:tr>
      <w:tr>
        <w:tc>
          <w:tcPr>
            <w:tcW w:type="dxa" w:w="2800"/>
            <w:shd w:fill="E6F5EE" w:val="clear"/>
            <w:tcMar>
              <w:top w:type="dxa" w:w="80"/>
              <w:left w:type="dxa" w:w="120"/>
              <w:bottom w:type="dxa" w:w="80"/>
              <w:right w:type="dxa" w:w="120"/>
            </w:tcMar>
          </w:tcPr>
          <w:p>
            <w:r>
              <w:rPr>
                <w:b/>
                <w:bCs/>
                <w:color w:val="0F6B49"/>
                <w:sz w:val="20"/>
                <w:szCs w:val="20"/>
              </w:rPr>
              <w:t xml:space="preserve">Natural gas</w:t>
            </w:r>
          </w:p>
        </w:tc>
        <w:tc>
          <w:tcPr>
            <w:tcW w:type="dxa" w:w="5700"/>
            <w:tcMar>
              <w:top w:type="dxa" w:w="80"/>
              <w:left w:type="dxa" w:w="120"/>
              <w:bottom w:type="dxa" w:w="80"/>
              <w:right w:type="dxa" w:w="120"/>
            </w:tcMar>
          </w:tcPr>
          <w:p>
            <w:r>
              <w:rPr>
                <w:b w:val="false"/>
                <w:bCs w:val="false"/>
                <w:color w:val="1A1A1A"/>
                <w:sz w:val="20"/>
                <w:szCs w:val="20"/>
              </w:rPr>
              <w:t xml:space="preserve">8,000 + 6,000 + 10,000 GJ/year (laundry, kitchens)</w:t>
            </w:r>
          </w:p>
        </w:tc>
      </w:tr>
      <w:tr>
        <w:tc>
          <w:tcPr>
            <w:tcW w:type="dxa" w:w="2800"/>
            <w:shd w:fill="E6F5EE" w:val="clear"/>
            <w:tcMar>
              <w:top w:type="dxa" w:w="80"/>
              <w:left w:type="dxa" w:w="120"/>
              <w:bottom w:type="dxa" w:w="80"/>
              <w:right w:type="dxa" w:w="120"/>
            </w:tcMar>
          </w:tcPr>
          <w:p>
            <w:r>
              <w:rPr>
                <w:b/>
                <w:bCs/>
                <w:color w:val="0F6B49"/>
                <w:sz w:val="20"/>
                <w:szCs w:val="20"/>
              </w:rPr>
              <w:t xml:space="preserve">Refrigerants</w:t>
            </w:r>
          </w:p>
        </w:tc>
        <w:tc>
          <w:tcPr>
            <w:tcW w:type="dxa" w:w="5700"/>
            <w:tcMar>
              <w:top w:type="dxa" w:w="80"/>
              <w:left w:type="dxa" w:w="120"/>
              <w:bottom w:type="dxa" w:w="80"/>
              <w:right w:type="dxa" w:w="120"/>
            </w:tcMar>
          </w:tcPr>
          <w:p>
            <w:r>
              <w:rPr>
                <w:b w:val="false"/>
                <w:bCs w:val="false"/>
                <w:color w:val="1A1A1A"/>
                <w:sz w:val="20"/>
                <w:szCs w:val="20"/>
              </w:rPr>
              <w:t xml:space="preserve">R-410A, 80 kg/year (chiller systems)</w:t>
            </w:r>
          </w:p>
        </w:tc>
      </w:tr>
      <w:tr>
        <w:tc>
          <w:tcPr>
            <w:tcW w:type="dxa" w:w="2800"/>
            <w:shd w:fill="E6F5EE" w:val="clear"/>
            <w:tcMar>
              <w:top w:type="dxa" w:w="80"/>
              <w:left w:type="dxa" w:w="120"/>
              <w:bottom w:type="dxa" w:w="80"/>
              <w:right w:type="dxa" w:w="120"/>
            </w:tcMar>
          </w:tcPr>
          <w:p>
            <w:r>
              <w:rPr>
                <w:b/>
                <w:bCs/>
                <w:color w:val="0F6B49"/>
                <w:sz w:val="20"/>
                <w:szCs w:val="20"/>
              </w:rPr>
              <w:t xml:space="preserve">Listed on SGX</w:t>
            </w:r>
          </w:p>
        </w:tc>
        <w:tc>
          <w:tcPr>
            <w:tcW w:type="dxa" w:w="5700"/>
            <w:tcMar>
              <w:top w:type="dxa" w:w="80"/>
              <w:left w:type="dxa" w:w="120"/>
              <w:bottom w:type="dxa" w:w="80"/>
              <w:right w:type="dxa" w:w="120"/>
            </w:tcMar>
          </w:tcPr>
          <w:p>
            <w:r>
              <w:rPr>
                <w:b w:val="false"/>
                <w:bCs w:val="false"/>
                <w:color w:val="1A1A1A"/>
                <w:sz w:val="20"/>
                <w:szCs w:val="20"/>
              </w:rPr>
              <w:t xml:space="preserve">Yes</w:t>
            </w:r>
          </w:p>
        </w:tc>
      </w:tr>
      <w:tr>
        <w:tc>
          <w:tcPr>
            <w:tcW w:type="dxa" w:w="2800"/>
            <w:shd w:fill="E6F5EE" w:val="clear"/>
            <w:tcMar>
              <w:top w:type="dxa" w:w="80"/>
              <w:left w:type="dxa" w:w="120"/>
              <w:bottom w:type="dxa" w:w="80"/>
              <w:right w:type="dxa" w:w="120"/>
            </w:tcMar>
          </w:tcPr>
          <w:p>
            <w:r>
              <w:rPr>
                <w:b/>
                <w:bCs/>
                <w:color w:val="0F6B49"/>
                <w:sz w:val="20"/>
                <w:szCs w:val="20"/>
              </w:rPr>
              <w:t xml:space="preserve">SBTi status</w:t>
            </w:r>
          </w:p>
        </w:tc>
        <w:tc>
          <w:tcPr>
            <w:tcW w:type="dxa" w:w="5700"/>
            <w:tcMar>
              <w:top w:type="dxa" w:w="80"/>
              <w:left w:type="dxa" w:w="120"/>
              <w:bottom w:type="dxa" w:w="80"/>
              <w:right w:type="dxa" w:w="120"/>
            </w:tcMar>
          </w:tcPr>
          <w:p>
            <w:r>
              <w:rPr>
                <w:b w:val="false"/>
                <w:bCs w:val="false"/>
                <w:color w:val="1A1A1A"/>
                <w:sz w:val="20"/>
                <w:szCs w:val="20"/>
              </w:rPr>
              <w:t xml:space="preserve">In progress, target year 2035</w:t>
            </w:r>
          </w:p>
        </w:tc>
      </w:tr>
      <w:tr>
        <w:tc>
          <w:tcPr>
            <w:tcW w:type="dxa" w:w="2800"/>
            <w:shd w:fill="E6F5EE" w:val="clear"/>
            <w:tcMar>
              <w:top w:type="dxa" w:w="80"/>
              <w:left w:type="dxa" w:w="120"/>
              <w:bottom w:type="dxa" w:w="80"/>
              <w:right w:type="dxa" w:w="120"/>
            </w:tcMar>
          </w:tcPr>
          <w:p>
            <w:r>
              <w:rPr>
                <w:b/>
                <w:bCs/>
                <w:color w:val="0F6B49"/>
                <w:sz w:val="20"/>
                <w:szCs w:val="20"/>
              </w:rPr>
              <w:t xml:space="preserve">Est. investment</w:t>
            </w:r>
          </w:p>
        </w:tc>
        <w:tc>
          <w:tcPr>
            <w:tcW w:type="dxa" w:w="5700"/>
            <w:tcMar>
              <w:top w:type="dxa" w:w="80"/>
              <w:left w:type="dxa" w:w="120"/>
              <w:bottom w:type="dxa" w:w="80"/>
              <w:right w:type="dxa" w:w="120"/>
            </w:tcMar>
          </w:tcPr>
          <w:p>
            <w:r>
              <w:rPr>
                <w:b w:val="false"/>
                <w:bCs w:val="false"/>
                <w:color w:val="1A1A1A"/>
                <w:sz w:val="20"/>
                <w:szCs w:val="20"/>
              </w:rPr>
              <w:t xml:space="preserve">S$3,000,000</w:t>
            </w:r>
          </w:p>
        </w:tc>
      </w:tr>
    </w:tbl>
    <w:p>
      <w:pPr>
        <w:spacing w:after="100" w:before="240"/>
      </w:pPr>
      <w:r>
        <w:rPr>
          <w:b/>
          <w:bCs/>
          <w:color w:val="0F6B49"/>
          <w:sz w:val="24"/>
          <w:szCs w:val="24"/>
        </w:rPr>
        <w:t xml:space="preserve">Current situation — what they're paying / emitting today</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Current annual carbon cost</w:t>
            </w:r>
          </w:p>
        </w:tc>
        <w:tc>
          <w:tcPr>
            <w:tcW w:type="dxa" w:w="5700"/>
            <w:tcMar>
              <w:top w:type="dxa" w:w="80"/>
              <w:left w:type="dxa" w:w="120"/>
              <w:bottom w:type="dxa" w:w="80"/>
              <w:right w:type="dxa" w:w="120"/>
            </w:tcMar>
          </w:tcPr>
          <w:p>
            <w:r>
              <w:rPr>
                <w:b w:val="false"/>
                <w:bCs w:val="false"/>
                <w:color w:val="1A1A1A"/>
                <w:sz w:val="20"/>
                <w:szCs w:val="20"/>
              </w:rPr>
              <w:t xml:space="preserve">S$13,660,671</w:t>
            </w:r>
          </w:p>
        </w:tc>
      </w:tr>
      <w:tr>
        <w:tc>
          <w:tcPr>
            <w:tcW w:type="dxa" w:w="2800"/>
            <w:shd w:fill="E6F5EE" w:val="clear"/>
            <w:tcMar>
              <w:top w:type="dxa" w:w="80"/>
              <w:left w:type="dxa" w:w="120"/>
              <w:bottom w:type="dxa" w:w="80"/>
              <w:right w:type="dxa" w:w="120"/>
            </w:tcMar>
          </w:tcPr>
          <w:p>
            <w:r>
              <w:rPr>
                <w:b/>
                <w:bCs/>
                <w:color w:val="0F6B49"/>
                <w:sz w:val="20"/>
                <w:szCs w:val="20"/>
              </w:rPr>
              <w:t xml:space="preserve">Scope 1 (direct — fuel, refrigerants, gas)</w:t>
            </w:r>
          </w:p>
        </w:tc>
        <w:tc>
          <w:tcPr>
            <w:tcW w:type="dxa" w:w="5700"/>
            <w:tcMar>
              <w:top w:type="dxa" w:w="80"/>
              <w:left w:type="dxa" w:w="120"/>
              <w:bottom w:type="dxa" w:w="80"/>
              <w:right w:type="dxa" w:w="120"/>
            </w:tcMar>
          </w:tcPr>
          <w:p>
            <w:r>
              <w:rPr>
                <w:b w:val="false"/>
                <w:bCs w:val="false"/>
                <w:color w:val="1A1A1A"/>
                <w:sz w:val="20"/>
                <w:szCs w:val="20"/>
              </w:rPr>
              <w:t xml:space="preserve">1,464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2 (purchased electricity)</w:t>
            </w:r>
          </w:p>
        </w:tc>
        <w:tc>
          <w:tcPr>
            <w:tcW w:type="dxa" w:w="5700"/>
            <w:tcMar>
              <w:top w:type="dxa" w:w="80"/>
              <w:left w:type="dxa" w:w="120"/>
              <w:bottom w:type="dxa" w:w="80"/>
              <w:right w:type="dxa" w:w="120"/>
            </w:tcMar>
          </w:tcPr>
          <w:p>
            <w:r>
              <w:rPr>
                <w:b w:val="false"/>
                <w:bCs w:val="false"/>
                <w:color w:val="1A1A1A"/>
                <w:sz w:val="20"/>
                <w:szCs w:val="20"/>
              </w:rPr>
              <w:t xml:space="preserve">17,210 tCO2e</w:t>
            </w:r>
          </w:p>
        </w:tc>
      </w:tr>
      <w:tr>
        <w:tc>
          <w:tcPr>
            <w:tcW w:type="dxa" w:w="2800"/>
            <w:shd w:fill="E6F5EE" w:val="clear"/>
            <w:tcMar>
              <w:top w:type="dxa" w:w="80"/>
              <w:left w:type="dxa" w:w="120"/>
              <w:bottom w:type="dxa" w:w="80"/>
              <w:right w:type="dxa" w:w="120"/>
            </w:tcMar>
          </w:tcPr>
          <w:p>
            <w:r>
              <w:rPr>
                <w:b/>
                <w:bCs/>
                <w:color w:val="0F6B49"/>
                <w:sz w:val="20"/>
                <w:szCs w:val="20"/>
              </w:rPr>
              <w:t xml:space="preserve">Total Scope 1+2</w:t>
            </w:r>
          </w:p>
        </w:tc>
        <w:tc>
          <w:tcPr>
            <w:tcW w:type="dxa" w:w="5700"/>
            <w:tcMar>
              <w:top w:type="dxa" w:w="80"/>
              <w:left w:type="dxa" w:w="120"/>
              <w:bottom w:type="dxa" w:w="80"/>
              <w:right w:type="dxa" w:w="120"/>
            </w:tcMar>
          </w:tcPr>
          <w:p>
            <w:r>
              <w:rPr>
                <w:b w:val="false"/>
                <w:bCs w:val="false"/>
                <w:color w:val="1A1A1A"/>
                <w:sz w:val="20"/>
                <w:szCs w:val="20"/>
              </w:rPr>
              <w:t xml:space="preserve">18,673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3 (value chain, context only)</w:t>
            </w:r>
          </w:p>
        </w:tc>
        <w:tc>
          <w:tcPr>
            <w:tcW w:type="dxa" w:w="5700"/>
            <w:tcMar>
              <w:top w:type="dxa" w:w="80"/>
              <w:left w:type="dxa" w:w="120"/>
              <w:bottom w:type="dxa" w:w="80"/>
              <w:right w:type="dxa" w:w="120"/>
            </w:tcMar>
          </w:tcPr>
          <w:p>
            <w:r>
              <w:rPr>
                <w:b w:val="false"/>
                <w:bCs w:val="false"/>
                <w:color w:val="1A1A1A"/>
                <w:sz w:val="20"/>
                <w:szCs w:val="20"/>
              </w:rPr>
              <w:t xml:space="preserve">13,528 tCO2e</w:t>
            </w:r>
          </w:p>
        </w:tc>
      </w:tr>
      <w:tr>
        <w:tc>
          <w:tcPr>
            <w:tcW w:type="dxa" w:w="2800"/>
            <w:shd w:fill="E6F5EE" w:val="clear"/>
            <w:tcMar>
              <w:top w:type="dxa" w:w="80"/>
              <w:left w:type="dxa" w:w="120"/>
              <w:bottom w:type="dxa" w:w="80"/>
              <w:right w:type="dxa" w:w="120"/>
            </w:tcMar>
          </w:tcPr>
          <w:p>
            <w:r>
              <w:rPr>
                <w:b/>
                <w:bCs/>
                <w:color w:val="0F6B49"/>
                <w:sz w:val="20"/>
                <w:szCs w:val="20"/>
              </w:rPr>
              <w:t xml:space="preserve">Sector position</w:t>
            </w:r>
          </w:p>
        </w:tc>
        <w:tc>
          <w:tcPr>
            <w:tcW w:type="dxa" w:w="5700"/>
            <w:tcMar>
              <w:top w:type="dxa" w:w="80"/>
              <w:left w:type="dxa" w:w="120"/>
              <w:bottom w:type="dxa" w:w="80"/>
              <w:right w:type="dxa" w:w="120"/>
            </w:tcMar>
          </w:tcPr>
          <w:p>
            <w:r>
              <w:rPr>
                <w:b w:val="false"/>
                <w:bCs w:val="false"/>
                <w:color w:val="1A1A1A"/>
                <w:sz w:val="20"/>
                <w:szCs w:val="20"/>
              </w:rPr>
              <w:t xml:space="preserve">Above sector average energy intensity</w:t>
            </w:r>
          </w:p>
        </w:tc>
      </w:tr>
      <w:tr>
        <w:tc>
          <w:tcPr>
            <w:tcW w:type="dxa" w:w="2800"/>
            <w:shd w:fill="E6F5EE" w:val="clear"/>
            <w:tcMar>
              <w:top w:type="dxa" w:w="80"/>
              <w:left w:type="dxa" w:w="120"/>
              <w:bottom w:type="dxa" w:w="80"/>
              <w:right w:type="dxa" w:w="120"/>
            </w:tcMar>
          </w:tcPr>
          <w:p>
            <w:r>
              <w:rPr>
                <w:b/>
                <w:bCs/>
                <w:color w:val="0F6B49"/>
                <w:sz w:val="20"/>
                <w:szCs w:val="20"/>
              </w:rPr>
              <w:t xml:space="preserve">Direct carbon taxpayer?</w:t>
            </w:r>
          </w:p>
        </w:tc>
        <w:tc>
          <w:tcPr>
            <w:tcW w:type="dxa" w:w="5700"/>
            <w:tcMar>
              <w:top w:type="dxa" w:w="80"/>
              <w:left w:type="dxa" w:w="120"/>
              <w:bottom w:type="dxa" w:w="80"/>
              <w:right w:type="dxa" w:w="120"/>
            </w:tcMar>
          </w:tcPr>
          <w:p>
            <w:r>
              <w:rPr>
                <w:b w:val="false"/>
                <w:bCs w:val="false"/>
                <w:color w:val="1A1A1A"/>
                <w:sz w:val="20"/>
                <w:szCs w:val="20"/>
              </w:rPr>
              <w:t xml:space="preserve">No — pass-through only, already in tariff</w:t>
            </w:r>
          </w:p>
        </w:tc>
      </w:tr>
    </w:tbl>
    <w:p>
      <w:pPr>
        <w:spacing w:after="100" w:before="240"/>
      </w:pPr>
      <w:r>
        <w:rPr>
          <w:b/>
          <w:bCs/>
          <w:color w:val="0F6B49"/>
          <w:sz w:val="24"/>
          <w:szCs w:val="24"/>
        </w:rPr>
        <w:t xml:space="preserve">Potential — what they could save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Estimated Year-1 saving</w:t>
            </w:r>
          </w:p>
        </w:tc>
        <w:tc>
          <w:tcPr>
            <w:tcW w:type="dxa" w:w="5700"/>
            <w:tcMar>
              <w:top w:type="dxa" w:w="80"/>
              <w:left w:type="dxa" w:w="120"/>
              <w:bottom w:type="dxa" w:w="80"/>
              <w:right w:type="dxa" w:w="120"/>
            </w:tcMar>
          </w:tcPr>
          <w:p>
            <w:r>
              <w:rPr>
                <w:b w:val="false"/>
                <w:bCs w:val="false"/>
                <w:color w:val="1A1A1A"/>
                <w:sz w:val="20"/>
                <w:szCs w:val="20"/>
              </w:rPr>
              <w:t xml:space="preserve">S$1,514,427 – S$3,145,348</w:t>
            </w:r>
          </w:p>
        </w:tc>
      </w:tr>
      <w:tr>
        <w:tc>
          <w:tcPr>
            <w:tcW w:type="dxa" w:w="2800"/>
            <w:shd w:fill="E6F5EE" w:val="clear"/>
            <w:tcMar>
              <w:top w:type="dxa" w:w="80"/>
              <w:left w:type="dxa" w:w="120"/>
              <w:bottom w:type="dxa" w:w="80"/>
              <w:right w:type="dxa" w:w="120"/>
            </w:tcMar>
          </w:tcPr>
          <w:p>
            <w:r>
              <w:rPr>
                <w:b/>
                <w:bCs/>
                <w:color w:val="0F6B49"/>
                <w:sz w:val="20"/>
                <w:szCs w:val="20"/>
              </w:rPr>
              <w:t xml:space="preserve">Estimated 10-year cumulative saving</w:t>
            </w:r>
          </w:p>
        </w:tc>
        <w:tc>
          <w:tcPr>
            <w:tcW w:type="dxa" w:w="5700"/>
            <w:tcMar>
              <w:top w:type="dxa" w:w="80"/>
              <w:left w:type="dxa" w:w="120"/>
              <w:bottom w:type="dxa" w:w="80"/>
              <w:right w:type="dxa" w:w="120"/>
            </w:tcMar>
          </w:tcPr>
          <w:p>
            <w:r>
              <w:rPr>
                <w:b w:val="false"/>
                <w:bCs w:val="false"/>
                <w:color w:val="1A1A1A"/>
                <w:sz w:val="20"/>
                <w:szCs w:val="20"/>
              </w:rPr>
              <w:t xml:space="preserve">S$15,144,270 – S$31,453,484</w:t>
            </w:r>
          </w:p>
        </w:tc>
      </w:tr>
      <w:tr>
        <w:tc>
          <w:tcPr>
            <w:tcW w:type="dxa" w:w="2800"/>
            <w:shd w:fill="E6F5EE" w:val="clear"/>
            <w:tcMar>
              <w:top w:type="dxa" w:w="80"/>
              <w:left w:type="dxa" w:w="120"/>
              <w:bottom w:type="dxa" w:w="80"/>
              <w:right w:type="dxa" w:w="120"/>
            </w:tcMar>
          </w:tcPr>
          <w:p>
            <w:r>
              <w:rPr>
                <w:b/>
                <w:bCs/>
                <w:color w:val="0F6B49"/>
                <w:sz w:val="20"/>
                <w:szCs w:val="20"/>
              </w:rPr>
              <w:t xml:space="preserve">Payback period</w:t>
            </w:r>
          </w:p>
        </w:tc>
        <w:tc>
          <w:tcPr>
            <w:tcW w:type="dxa" w:w="5700"/>
            <w:tcMar>
              <w:top w:type="dxa" w:w="80"/>
              <w:left w:type="dxa" w:w="120"/>
              <w:bottom w:type="dxa" w:w="80"/>
              <w:right w:type="dxa" w:w="120"/>
            </w:tcMar>
          </w:tcPr>
          <w:p>
            <w:r>
              <w:rPr>
                <w:b w:val="false"/>
                <w:bCs w:val="false"/>
                <w:color w:val="1A1A1A"/>
                <w:sz w:val="20"/>
                <w:szCs w:val="20"/>
              </w:rPr>
              <w:t xml:space="preserve">1.3 years</w:t>
            </w:r>
          </w:p>
        </w:tc>
      </w:tr>
      <w:tr>
        <w:tc>
          <w:tcPr>
            <w:tcW w:type="dxa" w:w="2800"/>
            <w:shd w:fill="E6F5EE" w:val="clear"/>
            <w:tcMar>
              <w:top w:type="dxa" w:w="80"/>
              <w:left w:type="dxa" w:w="120"/>
              <w:bottom w:type="dxa" w:w="80"/>
              <w:right w:type="dxa" w:w="120"/>
            </w:tcMar>
          </w:tcPr>
          <w:p>
            <w:r>
              <w:rPr>
                <w:b/>
                <w:bCs/>
                <w:color w:val="0F6B49"/>
                <w:sz w:val="20"/>
                <w:szCs w:val="20"/>
              </w:rPr>
              <w:t xml:space="preserve">Applied energy-saving rate</w:t>
            </w:r>
          </w:p>
        </w:tc>
        <w:tc>
          <w:tcPr>
            <w:tcW w:type="dxa" w:w="5700"/>
            <w:tcMar>
              <w:top w:type="dxa" w:w="80"/>
              <w:left w:type="dxa" w:w="120"/>
              <w:bottom w:type="dxa" w:w="80"/>
              <w:right w:type="dxa" w:w="120"/>
            </w:tcMar>
          </w:tcPr>
          <w:p>
            <w:r>
              <w:rPr>
                <w:b w:val="false"/>
                <w:bCs w:val="false"/>
                <w:color w:val="1A1A1A"/>
                <w:sz w:val="20"/>
                <w:szCs w:val="20"/>
              </w:rPr>
              <w:t xml:space="preserve">16%</w:t>
            </w:r>
          </w:p>
        </w:tc>
      </w:tr>
      <w:tr>
        <w:tc>
          <w:tcPr>
            <w:tcW w:type="dxa" w:w="2800"/>
            <w:shd w:fill="E6F5EE" w:val="clear"/>
            <w:tcMar>
              <w:top w:type="dxa" w:w="80"/>
              <w:left w:type="dxa" w:w="120"/>
              <w:bottom w:type="dxa" w:w="80"/>
              <w:right w:type="dxa" w:w="120"/>
            </w:tcMar>
          </w:tcPr>
          <w:p>
            <w:r>
              <w:rPr>
                <w:b/>
                <w:bCs/>
                <w:color w:val="0F6B49"/>
                <w:sz w:val="20"/>
                <w:szCs w:val="20"/>
              </w:rPr>
              <w:t xml:space="preserve">Confidence level</w:t>
            </w:r>
          </w:p>
        </w:tc>
        <w:tc>
          <w:tcPr>
            <w:tcW w:type="dxa" w:w="5700"/>
            <w:tcMar>
              <w:top w:type="dxa" w:w="80"/>
              <w:left w:type="dxa" w:w="120"/>
              <w:bottom w:type="dxa" w:w="80"/>
              <w:right w:type="dxa" w:w="120"/>
            </w:tcMar>
          </w:tcPr>
          <w:p>
            <w:r>
              <w:rPr>
                <w:b w:val="false"/>
                <w:bCs w:val="false"/>
                <w:color w:val="1A1A1A"/>
                <w:sz w:val="20"/>
                <w:szCs w:val="20"/>
              </w:rPr>
              <w:t xml:space="preserve">Low (±35% range shown above for Low; see reasons below)</w:t>
            </w:r>
          </w:p>
        </w:tc>
      </w:tr>
    </w:tbl>
    <w:p>
      <w:pPr>
        <w:pStyle w:val="ListParagraph"/>
        <w:numPr>
          <w:ilvl w:val="0"/>
          <w:numId w:val="1"/>
        </w:numPr>
        <w:spacing w:after="60"/>
      </w:pPr>
      <w:r>
        <w:rPr>
          <w:color w:val="1A1A1A"/>
          <w:sz w:val="20"/>
          <w:szCs w:val="20"/>
        </w:rPr>
        <w:t xml:space="preserve">One or more sites use the reference tariff instead of an actual contract rate</w:t>
      </w:r>
    </w:p>
    <w:p>
      <w:pPr>
        <w:pStyle w:val="ListParagraph"/>
        <w:numPr>
          <w:ilvl w:val="0"/>
          <w:numId w:val="1"/>
        </w:numPr>
        <w:spacing w:after="60"/>
      </w:pPr>
      <w:r>
        <w:rPr>
          <w:color w:val="1A1A1A"/>
          <w:sz w:val="20"/>
          <w:szCs w:val="20"/>
        </w:rPr>
        <w:t xml:space="preserve">Scope 3 Cat 1/4/9 uses spend-based EEIO factors (±35%), not supplier- or shipment-level activity data</w:t>
      </w:r>
    </w:p>
    <w:p>
      <w:pPr>
        <w:spacing w:after="100" w:before="240"/>
      </w:pPr>
      <w:r>
        <w:rPr>
          <w:b/>
          <w:bCs/>
          <w:color w:val="0F6B49"/>
          <w:sz w:val="24"/>
          <w:szCs w:val="24"/>
        </w:rPr>
        <w:t xml:space="preserve">Target tracking</w:t>
      </w:r>
    </w:p>
    <w:p>
      <w:pPr>
        <w:spacing w:after="160"/>
      </w:pPr>
      <w:r>
        <w:rPr>
          <w:i w:val="false"/>
          <w:iCs w:val="false"/>
          <w:color w:val="1A1A1A"/>
          <w:sz w:val="21"/>
          <w:szCs w:val="21"/>
        </w:rPr>
        <w:t xml:space="preserve">Against an implied 38% reduction target by 2035, this plan is projected to avoid 2,480 tCO2e/year versus the 7,058 tCO2e/year required — currently NOT on track on energy efficiency alone.</w:t>
      </w:r>
    </w:p>
    <w:p>
      <w:pPr>
        <w:spacing w:after="100" w:before="240"/>
      </w:pPr>
      <w:r>
        <w:rPr>
          <w:b/>
          <w:bCs/>
          <w:color w:val="0F6B49"/>
          <w:sz w:val="24"/>
          <w:szCs w:val="24"/>
        </w:rPr>
        <w:t xml:space="preserve">What needs to be done</w:t>
      </w:r>
    </w:p>
    <w:p>
      <w:pPr>
        <w:pStyle w:val="ListParagraph"/>
        <w:numPr>
          <w:ilvl w:val="0"/>
          <w:numId w:val="1"/>
        </w:numPr>
        <w:spacing w:after="60"/>
      </w:pPr>
      <w:r>
        <w:rPr>
          <w:color w:val="1A1A1A"/>
          <w:sz w:val="20"/>
          <w:szCs w:val="20"/>
        </w:rPr>
        <w:t xml:space="preserve">EcoStruxure Building Operation (EBO) (primary)</w:t>
      </w:r>
    </w:p>
    <w:p>
      <w:pPr>
        <w:pStyle w:val="ListParagraph"/>
        <w:numPr>
          <w:ilvl w:val="0"/>
          <w:numId w:val="1"/>
        </w:numPr>
        <w:spacing w:after="60"/>
      </w:pPr>
      <w:r>
        <w:rPr>
          <w:color w:val="1A1A1A"/>
          <w:sz w:val="20"/>
          <w:szCs w:val="20"/>
        </w:rPr>
        <w:t xml:space="preserve">EcoStruxure Resource Advisor (add-on)</w:t>
      </w:r>
    </w:p>
    <w:p>
      <w:pPr>
        <w:pStyle w:val="ListParagraph"/>
        <w:numPr>
          <w:ilvl w:val="0"/>
          <w:numId w:val="1"/>
        </w:numPr>
        <w:spacing w:after="60"/>
      </w:pPr>
      <w:r>
        <w:rPr>
          <w:color w:val="1A1A1A"/>
          <w:sz w:val="20"/>
          <w:szCs w:val="20"/>
        </w:rPr>
        <w:t xml:space="preserve">EcoStruxure Microgrid / EaaS (add-on)</w:t>
      </w:r>
    </w:p>
    <w:p>
      <w:pPr>
        <w:pStyle w:val="ListParagraph"/>
        <w:numPr>
          <w:ilvl w:val="0"/>
          <w:numId w:val="1"/>
        </w:numPr>
        <w:spacing w:after="60"/>
      </w:pPr>
      <w:r>
        <w:rPr>
          <w:color w:val="1A1A1A"/>
          <w:sz w:val="20"/>
          <w:szCs w:val="20"/>
        </w:rPr>
        <w:t xml:space="preserve">Schneider Sustainability Business / Net Zero Advisory (add-on)</w:t>
      </w:r>
    </w:p>
    <w:p>
      <w:pPr>
        <w:pStyle w:val="ListParagraph"/>
        <w:numPr>
          <w:ilvl w:val="0"/>
          <w:numId w:val="1"/>
        </w:numPr>
        <w:spacing w:after="60"/>
      </w:pPr>
      <w:r>
        <w:rPr>
          <w:color w:val="1A1A1A"/>
          <w:sz w:val="20"/>
          <w:szCs w:val="20"/>
        </w:rPr>
        <w:t xml:space="preserve">EcoStruxure Resource Advisor (Scope 3 module) (scope3)</w:t>
      </w:r>
    </w:p>
    <w:p>
      <w:pPr>
        <w:spacing w:after="100" w:before="240"/>
      </w:pPr>
      <w:r>
        <w:rPr>
          <w:b/>
          <w:bCs/>
          <w:color w:val="0F6B49"/>
          <w:sz w:val="24"/>
          <w:szCs w:val="24"/>
        </w:rPr>
        <w:t xml:space="preserve">Regulatory / compliance flags</w:t>
      </w:r>
    </w:p>
    <w:p>
      <w:pPr>
        <w:pStyle w:val="ListParagraph"/>
        <w:numPr>
          <w:ilvl w:val="0"/>
          <w:numId w:val="1"/>
        </w:numPr>
        <w:spacing w:after="60"/>
      </w:pPr>
      <w:r>
        <w:rPr>
          <w:color w:val="1A1A1A"/>
          <w:sz w:val="20"/>
          <w:szCs w:val="20"/>
        </w:rPr>
        <w:t xml:space="preserve">green: Not a direct carbon taxpayer</w:t>
      </w:r>
    </w:p>
    <w:p>
      <w:pPr>
        <w:pStyle w:val="ListParagraph"/>
        <w:numPr>
          <w:ilvl w:val="0"/>
          <w:numId w:val="1"/>
        </w:numPr>
        <w:spacing w:after="60"/>
      </w:pPr>
      <w:r>
        <w:rPr>
          <w:color w:val="1A1A1A"/>
          <w:sz w:val="20"/>
          <w:szCs w:val="20"/>
        </w:rPr>
        <w:t xml:space="preserve">yellow: SGX mandatory sustainability reporting</w:t>
      </w:r>
    </w:p>
    <w:p>
      <w:pPr>
        <w:spacing w:after="100" w:before="240"/>
      </w:pPr>
      <w:r>
        <w:rPr>
          <w:b/>
          <w:bCs/>
          <w:color w:val="0F6B49"/>
          <w:sz w:val="24"/>
          <w:szCs w:val="24"/>
        </w:rPr>
        <w:t xml:space="preserve">Plain-English summary (as shown to the client)</w:t>
      </w:r>
    </w:p>
    <w:p>
      <w:pPr>
        <w:spacing w:after="160"/>
      </w:pPr>
      <w:r>
        <w:rPr>
          <w:i w:val="false"/>
          <w:iCs w:val="false"/>
          <w:color w:val="1A1A1A"/>
          <w:sz w:val="21"/>
          <w:szCs w:val="21"/>
        </w:rPr>
        <w:t xml:space="preserve">Marina Bay Hospitality Group Pte Ltd — a Hospitality business across 3 Singapore site(s) with 850 employees — emits approximately 18,673 tCO₂e/year across Scope 1 and 2. By deploying EcoStruxure Building Operation (EBO) alongside EcoStruxure Resource Advisor and EcoStruxure Microgrid / EaaS and Schneider Sustainability Business / Net Zero Advisory, you could save an estimated S$2,329,888 per year on energy costs. Your direct (Scope 1) emissions are below the 25,000 tCO2e/year carbon tax threshold, so no separate carbon tax saving is shown — that cost is already embedded in the electricity tariff used above. At your stated investment level, payback is approximately 1.3 years. This fits your preferred "Buy outright" engagement model within your stated 500k-5M budget range. Over 10 years, the cumulative financial benefit is estimated at S$15,144,270 to S$31,453,484. Your Scope 3 footprint across the 6 priority categories is estimated at ~13,528 tCO₂e/year — identified but not included in the financial saving. EcoStruxure Resource Advisor can help track and report this for GRI purposes.</w:t>
      </w:r>
    </w:p>
    <w:p>
      <w:pPr>
        <w:spacing w:after="100" w:before="240"/>
      </w:pPr>
      <w:r>
        <w:rPr>
          <w:b/>
          <w:bCs/>
          <w:color w:val="0F6B49"/>
          <w:sz w:val="24"/>
          <w:szCs w:val="24"/>
        </w:rPr>
        <w:t xml:space="preserve">Key caveats disclosed to the user</w:t>
      </w:r>
    </w:p>
    <w:p>
      <w:pPr>
        <w:pStyle w:val="ListParagraph"/>
        <w:numPr>
          <w:ilvl w:val="0"/>
          <w:numId w:val="1"/>
        </w:numPr>
        <w:spacing w:after="60"/>
      </w:pPr>
      <w:r>
        <w:rPr>
          <w:color w:val="1A1A1A"/>
          <w:sz w:val="20"/>
          <w:szCs w:val="20"/>
        </w:rPr>
        <w:t xml:space="preserve">No separate carbon tax saving is shown: Singapore's carbon tax applies only to ~50 large facilities with ≥25,000 tCO2e/year of direct (Scope 1) emissions. Your exposure is a small pass-through already reflected in your electricity tariffs — showing it twice would double-count the same cost.</w:t>
      </w:r>
    </w:p>
    <w:p>
      <w:pPr>
        <w:pStyle w:val="ListParagraph"/>
        <w:numPr>
          <w:ilvl w:val="0"/>
          <w:numId w:val="1"/>
        </w:numPr>
        <w:spacing w:after="60"/>
      </w:pPr>
      <w:r>
        <w:rPr>
          <w:color w:val="1A1A1A"/>
          <w:sz w:val="20"/>
          <w:szCs w:val="20"/>
        </w:rPr>
        <w:t xml:space="preserve">Employee commuting uses placeholder per-mode emission factors pending DEFRA-sourced sign-off — see data/scope3_factors.json.</w:t>
      </w:r>
    </w:p>
    <w:p>
      <w:pPr>
        <w:pStyle w:val="ListParagraph"/>
        <w:numPr>
          <w:ilvl w:val="0"/>
          <w:numId w:val="1"/>
        </w:numPr>
        <w:spacing w:after="60"/>
      </w:pPr>
      <w:r>
        <w:rPr>
          <w:color w:val="1A1A1A"/>
          <w:sz w:val="20"/>
          <w:szCs w:val="20"/>
        </w:rPr>
        <w:t xml:space="preserve">Payback period under 2 years is unusually fast — please double-check your investment cost estimate.</w:t>
      </w:r>
    </w:p>
    <w:p>
      <w:pPr>
        <w:pStyle w:val="ListParagraph"/>
        <w:numPr>
          <w:ilvl w:val="0"/>
          <w:numId w:val="1"/>
        </w:numPr>
        <w:spacing w:after="60"/>
      </w:pPr>
      <w:r>
        <w:rPr>
          <w:color w:val="1A1A1A"/>
          <w:sz w:val="20"/>
          <w:szCs w:val="20"/>
        </w:rPr>
        <w:t xml:space="preserve">Target comparison uses SBTi's published minimum linear reduction rate (4.2%/year) as an implied target, not your company's actual submitted SBTi target — refine if you have a specific % goal.</w:t>
      </w:r>
    </w:p>
    <w:p>
      <w:r>
        <w:br w:type="page"/>
      </w:r>
    </w:p>
    <w:p>
      <w:pPr>
        <w:pStyle w:val="Heading2"/>
        <w:spacing w:after="150" w:before="300"/>
      </w:pPr>
      <w:r>
        <w:t xml:space="preserve">PanAsia Logistics Holdings (Logistics MNC)</w:t>
      </w:r>
    </w:p>
    <w:p>
      <w:pPr>
        <w:spacing w:after="100" w:before="240"/>
      </w:pPr>
      <w:r>
        <w:rPr>
          <w:b/>
          <w:bCs/>
          <w:color w:val="0F6B49"/>
          <w:sz w:val="24"/>
          <w:szCs w:val="24"/>
        </w:rPr>
        <w:t xml:space="preserve">Company profile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Sector</w:t>
            </w:r>
          </w:p>
        </w:tc>
        <w:tc>
          <w:tcPr>
            <w:tcW w:type="dxa" w:w="5700"/>
            <w:tcMar>
              <w:top w:type="dxa" w:w="80"/>
              <w:left w:type="dxa" w:w="120"/>
              <w:bottom w:type="dxa" w:w="80"/>
              <w:right w:type="dxa" w:w="120"/>
            </w:tcMar>
          </w:tcPr>
          <w:p>
            <w:r>
              <w:rPr>
                <w:b w:val="false"/>
                <w:bCs w:val="false"/>
                <w:color w:val="1A1A1A"/>
                <w:sz w:val="20"/>
                <w:szCs w:val="20"/>
              </w:rPr>
              <w:t xml:space="preserve">Logistics (3PL / regional distribution)</w:t>
            </w:r>
          </w:p>
        </w:tc>
      </w:tr>
      <w:tr>
        <w:tc>
          <w:tcPr>
            <w:tcW w:type="dxa" w:w="2800"/>
            <w:shd w:fill="E6F5EE" w:val="clear"/>
            <w:tcMar>
              <w:top w:type="dxa" w:w="80"/>
              <w:left w:type="dxa" w:w="120"/>
              <w:bottom w:type="dxa" w:w="80"/>
              <w:right w:type="dxa" w:w="120"/>
            </w:tcMar>
          </w:tcPr>
          <w:p>
            <w:r>
              <w:rPr>
                <w:b/>
                <w:bCs/>
                <w:color w:val="0F6B49"/>
                <w:sz w:val="20"/>
                <w:szCs w:val="20"/>
              </w:rPr>
              <w:t xml:space="preserve">Sites</w:t>
            </w:r>
          </w:p>
        </w:tc>
        <w:tc>
          <w:tcPr>
            <w:tcW w:type="dxa" w:w="5700"/>
            <w:tcMar>
              <w:top w:type="dxa" w:w="80"/>
              <w:left w:type="dxa" w:w="120"/>
              <w:bottom w:type="dxa" w:w="80"/>
              <w:right w:type="dxa" w:w="120"/>
            </w:tcMar>
          </w:tcPr>
          <w:p>
            <w:r>
              <w:rPr>
                <w:b w:val="false"/>
                <w:bCs w:val="false"/>
                <w:color w:val="1A1A1A"/>
                <w:sz w:val="20"/>
                <w:szCs w:val="20"/>
              </w:rPr>
              <w:t xml:space="preserve">2 (Tuas Distribution Hub, Changi Logistics Park)</w:t>
            </w:r>
          </w:p>
        </w:tc>
      </w:tr>
      <w:tr>
        <w:tc>
          <w:tcPr>
            <w:tcW w:type="dxa" w:w="2800"/>
            <w:shd w:fill="E6F5EE" w:val="clear"/>
            <w:tcMar>
              <w:top w:type="dxa" w:w="80"/>
              <w:left w:type="dxa" w:w="120"/>
              <w:bottom w:type="dxa" w:w="80"/>
              <w:right w:type="dxa" w:w="120"/>
            </w:tcMar>
          </w:tcPr>
          <w:p>
            <w:r>
              <w:rPr>
                <w:b/>
                <w:bCs/>
                <w:color w:val="0F6B49"/>
                <w:sz w:val="20"/>
                <w:szCs w:val="20"/>
              </w:rPr>
              <w:t xml:space="preserve">Employees</w:t>
            </w:r>
          </w:p>
        </w:tc>
        <w:tc>
          <w:tcPr>
            <w:tcW w:type="dxa" w:w="5700"/>
            <w:tcMar>
              <w:top w:type="dxa" w:w="80"/>
              <w:left w:type="dxa" w:w="120"/>
              <w:bottom w:type="dxa" w:w="80"/>
              <w:right w:type="dxa" w:w="120"/>
            </w:tcMar>
          </w:tcPr>
          <w:p>
            <w:r>
              <w:rPr>
                <w:b w:val="false"/>
                <w:bCs w:val="false"/>
                <w:color w:val="1A1A1A"/>
                <w:sz w:val="20"/>
                <w:szCs w:val="20"/>
              </w:rPr>
              <w:t xml:space="preserve">600</w:t>
            </w:r>
          </w:p>
        </w:tc>
      </w:tr>
      <w:tr>
        <w:tc>
          <w:tcPr>
            <w:tcW w:type="dxa" w:w="2800"/>
            <w:shd w:fill="E6F5EE" w:val="clear"/>
            <w:tcMar>
              <w:top w:type="dxa" w:w="80"/>
              <w:left w:type="dxa" w:w="120"/>
              <w:bottom w:type="dxa" w:w="80"/>
              <w:right w:type="dxa" w:w="120"/>
            </w:tcMar>
          </w:tcPr>
          <w:p>
            <w:r>
              <w:rPr>
                <w:b/>
                <w:bCs/>
                <w:color w:val="0F6B49"/>
                <w:sz w:val="20"/>
                <w:szCs w:val="20"/>
              </w:rPr>
              <w:t xml:space="preserve">Annual revenue</w:t>
            </w:r>
          </w:p>
        </w:tc>
        <w:tc>
          <w:tcPr>
            <w:tcW w:type="dxa" w:w="5700"/>
            <w:tcMar>
              <w:top w:type="dxa" w:w="80"/>
              <w:left w:type="dxa" w:w="120"/>
              <w:bottom w:type="dxa" w:w="80"/>
              <w:right w:type="dxa" w:w="120"/>
            </w:tcMar>
          </w:tcPr>
          <w:p>
            <w:r>
              <w:rPr>
                <w:b w:val="false"/>
                <w:bCs w:val="false"/>
                <w:color w:val="1A1A1A"/>
                <w:sz w:val="20"/>
                <w:szCs w:val="20"/>
              </w:rPr>
              <w:t xml:space="preserve">S$95,000,000</w:t>
            </w:r>
          </w:p>
        </w:tc>
      </w:tr>
      <w:tr>
        <w:tc>
          <w:tcPr>
            <w:tcW w:type="dxa" w:w="2800"/>
            <w:shd w:fill="E6F5EE" w:val="clear"/>
            <w:tcMar>
              <w:top w:type="dxa" w:w="80"/>
              <w:left w:type="dxa" w:w="120"/>
              <w:bottom w:type="dxa" w:w="80"/>
              <w:right w:type="dxa" w:w="120"/>
            </w:tcMar>
          </w:tcPr>
          <w:p>
            <w:r>
              <w:rPr>
                <w:b/>
                <w:bCs/>
                <w:color w:val="0F6B49"/>
                <w:sz w:val="20"/>
                <w:szCs w:val="20"/>
              </w:rPr>
              <w:t xml:space="preserve">Electricity</w:t>
            </w:r>
          </w:p>
        </w:tc>
        <w:tc>
          <w:tcPr>
            <w:tcW w:type="dxa" w:w="5700"/>
            <w:tcMar>
              <w:top w:type="dxa" w:w="80"/>
              <w:left w:type="dxa" w:w="120"/>
              <w:bottom w:type="dxa" w:w="80"/>
              <w:right w:type="dxa" w:w="120"/>
            </w:tcMar>
          </w:tcPr>
          <w:p>
            <w:r>
              <w:rPr>
                <w:b w:val="false"/>
                <w:bCs w:val="false"/>
                <w:color w:val="1A1A1A"/>
                <w:sz w:val="20"/>
                <w:szCs w:val="20"/>
              </w:rPr>
              <w:t xml:space="preserve">4M + 3.2M kWh/year across 2 sites</w:t>
            </w:r>
          </w:p>
        </w:tc>
      </w:tr>
      <w:tr>
        <w:tc>
          <w:tcPr>
            <w:tcW w:type="dxa" w:w="2800"/>
            <w:shd w:fill="E6F5EE" w:val="clear"/>
            <w:tcMar>
              <w:top w:type="dxa" w:w="80"/>
              <w:left w:type="dxa" w:w="120"/>
              <w:bottom w:type="dxa" w:w="80"/>
              <w:right w:type="dxa" w:w="120"/>
            </w:tcMar>
          </w:tcPr>
          <w:p>
            <w:r>
              <w:rPr>
                <w:b/>
                <w:bCs/>
                <w:color w:val="0F6B49"/>
                <w:sz w:val="20"/>
                <w:szCs w:val="20"/>
              </w:rPr>
              <w:t xml:space="preserve">Fleet</w:t>
            </w:r>
          </w:p>
        </w:tc>
        <w:tc>
          <w:tcPr>
            <w:tcW w:type="dxa" w:w="5700"/>
            <w:tcMar>
              <w:top w:type="dxa" w:w="80"/>
              <w:left w:type="dxa" w:w="120"/>
              <w:bottom w:type="dxa" w:w="80"/>
              <w:right w:type="dxa" w:w="120"/>
            </w:tcMar>
          </w:tcPr>
          <w:p>
            <w:r>
              <w:rPr>
                <w:b w:val="false"/>
                <w:bCs w:val="false"/>
                <w:color w:val="1A1A1A"/>
                <w:sz w:val="20"/>
                <w:szCs w:val="20"/>
              </w:rPr>
              <w:t xml:space="preserve">450,000 L/year mobile diesel (large delivery fleet)</w:t>
            </w:r>
          </w:p>
        </w:tc>
      </w:tr>
      <w:tr>
        <w:tc>
          <w:tcPr>
            <w:tcW w:type="dxa" w:w="2800"/>
            <w:shd w:fill="E6F5EE" w:val="clear"/>
            <w:tcMar>
              <w:top w:type="dxa" w:w="80"/>
              <w:left w:type="dxa" w:w="120"/>
              <w:bottom w:type="dxa" w:w="80"/>
              <w:right w:type="dxa" w:w="120"/>
            </w:tcMar>
          </w:tcPr>
          <w:p>
            <w:r>
              <w:rPr>
                <w:b/>
                <w:bCs/>
                <w:color w:val="0F6B49"/>
                <w:sz w:val="20"/>
                <w:szCs w:val="20"/>
              </w:rPr>
              <w:t xml:space="preserve">Upstream freight</w:t>
            </w:r>
          </w:p>
        </w:tc>
        <w:tc>
          <w:tcPr>
            <w:tcW w:type="dxa" w:w="5700"/>
            <w:tcMar>
              <w:top w:type="dxa" w:w="80"/>
              <w:left w:type="dxa" w:w="120"/>
              <w:bottom w:type="dxa" w:w="80"/>
              <w:right w:type="dxa" w:w="120"/>
            </w:tcMar>
          </w:tcPr>
          <w:p>
            <w:r>
              <w:rPr>
                <w:b w:val="false"/>
                <w:bCs w:val="false"/>
                <w:color w:val="1A1A1A"/>
                <w:sz w:val="20"/>
                <w:szCs w:val="20"/>
              </w:rPr>
              <w:t xml:space="preserve">S$8,000,000/year (spend-based — tonne-km data not available)</w:t>
            </w:r>
          </w:p>
        </w:tc>
      </w:tr>
      <w:tr>
        <w:tc>
          <w:tcPr>
            <w:tcW w:type="dxa" w:w="2800"/>
            <w:shd w:fill="E6F5EE" w:val="clear"/>
            <w:tcMar>
              <w:top w:type="dxa" w:w="80"/>
              <w:left w:type="dxa" w:w="120"/>
              <w:bottom w:type="dxa" w:w="80"/>
              <w:right w:type="dxa" w:w="120"/>
            </w:tcMar>
          </w:tcPr>
          <w:p>
            <w:r>
              <w:rPr>
                <w:b/>
                <w:bCs/>
                <w:color w:val="0F6B49"/>
                <w:sz w:val="20"/>
                <w:szCs w:val="20"/>
              </w:rPr>
              <w:t xml:space="preserve">Downstream freight</w:t>
            </w:r>
          </w:p>
        </w:tc>
        <w:tc>
          <w:tcPr>
            <w:tcW w:type="dxa" w:w="5700"/>
            <w:tcMar>
              <w:top w:type="dxa" w:w="80"/>
              <w:left w:type="dxa" w:w="120"/>
              <w:bottom w:type="dxa" w:w="80"/>
              <w:right w:type="dxa" w:w="120"/>
            </w:tcMar>
          </w:tcPr>
          <w:p>
            <w:r>
              <w:rPr>
                <w:b w:val="false"/>
                <w:bCs w:val="false"/>
                <w:color w:val="1A1A1A"/>
                <w:sz w:val="20"/>
                <w:szCs w:val="20"/>
              </w:rPr>
              <w:t xml:space="preserve">5M road + 500k sea + 50k air tonne-km/year</w:t>
            </w:r>
          </w:p>
        </w:tc>
      </w:tr>
      <w:tr>
        <w:tc>
          <w:tcPr>
            <w:tcW w:type="dxa" w:w="2800"/>
            <w:shd w:fill="E6F5EE" w:val="clear"/>
            <w:tcMar>
              <w:top w:type="dxa" w:w="80"/>
              <w:left w:type="dxa" w:w="120"/>
              <w:bottom w:type="dxa" w:w="80"/>
              <w:right w:type="dxa" w:w="120"/>
            </w:tcMar>
          </w:tcPr>
          <w:p>
            <w:r>
              <w:rPr>
                <w:b/>
                <w:bCs/>
                <w:color w:val="0F6B49"/>
                <w:sz w:val="20"/>
                <w:szCs w:val="20"/>
              </w:rPr>
              <w:t xml:space="preserve">Supplier to SBTi buyer</w:t>
            </w:r>
          </w:p>
        </w:tc>
        <w:tc>
          <w:tcPr>
            <w:tcW w:type="dxa" w:w="5700"/>
            <w:tcMar>
              <w:top w:type="dxa" w:w="80"/>
              <w:left w:type="dxa" w:w="120"/>
              <w:bottom w:type="dxa" w:w="80"/>
              <w:right w:type="dxa" w:w="120"/>
            </w:tcMar>
          </w:tcPr>
          <w:p>
            <w:r>
              <w:rPr>
                <w:b w:val="false"/>
                <w:bCs w:val="false"/>
                <w:color w:val="1A1A1A"/>
                <w:sz w:val="20"/>
                <w:szCs w:val="20"/>
              </w:rPr>
              <w:t xml:space="preserve">Yes</w:t>
            </w:r>
          </w:p>
        </w:tc>
      </w:tr>
      <w:tr>
        <w:tc>
          <w:tcPr>
            <w:tcW w:type="dxa" w:w="2800"/>
            <w:shd w:fill="E6F5EE" w:val="clear"/>
            <w:tcMar>
              <w:top w:type="dxa" w:w="80"/>
              <w:left w:type="dxa" w:w="120"/>
              <w:bottom w:type="dxa" w:w="80"/>
              <w:right w:type="dxa" w:w="120"/>
            </w:tcMar>
          </w:tcPr>
          <w:p>
            <w:r>
              <w:rPr>
                <w:b/>
                <w:bCs/>
                <w:color w:val="0F6B49"/>
                <w:sz w:val="20"/>
                <w:szCs w:val="20"/>
              </w:rPr>
              <w:t xml:space="preserve">Est. investment</w:t>
            </w:r>
          </w:p>
        </w:tc>
        <w:tc>
          <w:tcPr>
            <w:tcW w:type="dxa" w:w="5700"/>
            <w:tcMar>
              <w:top w:type="dxa" w:w="80"/>
              <w:left w:type="dxa" w:w="120"/>
              <w:bottom w:type="dxa" w:w="80"/>
              <w:right w:type="dxa" w:w="120"/>
            </w:tcMar>
          </w:tcPr>
          <w:p>
            <w:r>
              <w:rPr>
                <w:b w:val="false"/>
                <w:bCs w:val="false"/>
                <w:color w:val="1A1A1A"/>
                <w:sz w:val="20"/>
                <w:szCs w:val="20"/>
              </w:rPr>
              <w:t xml:space="preserve">S$1,200,000</w:t>
            </w:r>
          </w:p>
        </w:tc>
      </w:tr>
    </w:tbl>
    <w:p>
      <w:pPr>
        <w:spacing w:after="100" w:before="240"/>
      </w:pPr>
      <w:r>
        <w:rPr>
          <w:b/>
          <w:bCs/>
          <w:color w:val="0F6B49"/>
          <w:sz w:val="24"/>
          <w:szCs w:val="24"/>
        </w:rPr>
        <w:t xml:space="preserve">Current situation — what they're paying / emitting today</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Current annual carbon cost</w:t>
            </w:r>
          </w:p>
        </w:tc>
        <w:tc>
          <w:tcPr>
            <w:tcW w:type="dxa" w:w="5700"/>
            <w:tcMar>
              <w:top w:type="dxa" w:w="80"/>
              <w:left w:type="dxa" w:w="120"/>
              <w:bottom w:type="dxa" w:w="80"/>
              <w:right w:type="dxa" w:w="120"/>
            </w:tcMar>
          </w:tcPr>
          <w:p>
            <w:r>
              <w:rPr>
                <w:b w:val="false"/>
                <w:bCs w:val="false"/>
                <w:color w:val="1A1A1A"/>
                <w:sz w:val="20"/>
                <w:szCs w:val="20"/>
              </w:rPr>
              <w:t xml:space="preserve">S$2,106,060</w:t>
            </w:r>
          </w:p>
        </w:tc>
      </w:tr>
      <w:tr>
        <w:tc>
          <w:tcPr>
            <w:tcW w:type="dxa" w:w="2800"/>
            <w:shd w:fill="E6F5EE" w:val="clear"/>
            <w:tcMar>
              <w:top w:type="dxa" w:w="80"/>
              <w:left w:type="dxa" w:w="120"/>
              <w:bottom w:type="dxa" w:w="80"/>
              <w:right w:type="dxa" w:w="120"/>
            </w:tcMar>
          </w:tcPr>
          <w:p>
            <w:r>
              <w:rPr>
                <w:b/>
                <w:bCs/>
                <w:color w:val="0F6B49"/>
                <w:sz w:val="20"/>
                <w:szCs w:val="20"/>
              </w:rPr>
              <w:t xml:space="preserve">Scope 1 (direct — fuel, refrigerants, gas)</w:t>
            </w:r>
          </w:p>
        </w:tc>
        <w:tc>
          <w:tcPr>
            <w:tcW w:type="dxa" w:w="5700"/>
            <w:tcMar>
              <w:top w:type="dxa" w:w="80"/>
              <w:left w:type="dxa" w:w="120"/>
              <w:bottom w:type="dxa" w:w="80"/>
              <w:right w:type="dxa" w:w="120"/>
            </w:tcMar>
          </w:tcPr>
          <w:p>
            <w:r>
              <w:rPr>
                <w:b w:val="false"/>
                <w:bCs w:val="false"/>
                <w:color w:val="1A1A1A"/>
                <w:sz w:val="20"/>
                <w:szCs w:val="20"/>
              </w:rPr>
              <w:t xml:space="preserve">1,331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2 (purchased electricity)</w:t>
            </w:r>
          </w:p>
        </w:tc>
        <w:tc>
          <w:tcPr>
            <w:tcW w:type="dxa" w:w="5700"/>
            <w:tcMar>
              <w:top w:type="dxa" w:w="80"/>
              <w:left w:type="dxa" w:w="120"/>
              <w:bottom w:type="dxa" w:w="80"/>
              <w:right w:type="dxa" w:w="120"/>
            </w:tcMar>
          </w:tcPr>
          <w:p>
            <w:r>
              <w:rPr>
                <w:b w:val="false"/>
                <w:bCs w:val="false"/>
                <w:color w:val="1A1A1A"/>
                <w:sz w:val="20"/>
                <w:szCs w:val="20"/>
              </w:rPr>
              <w:t xml:space="preserve">2,653 tCO2e</w:t>
            </w:r>
          </w:p>
        </w:tc>
      </w:tr>
      <w:tr>
        <w:tc>
          <w:tcPr>
            <w:tcW w:type="dxa" w:w="2800"/>
            <w:shd w:fill="E6F5EE" w:val="clear"/>
            <w:tcMar>
              <w:top w:type="dxa" w:w="80"/>
              <w:left w:type="dxa" w:w="120"/>
              <w:bottom w:type="dxa" w:w="80"/>
              <w:right w:type="dxa" w:w="120"/>
            </w:tcMar>
          </w:tcPr>
          <w:p>
            <w:r>
              <w:rPr>
                <w:b/>
                <w:bCs/>
                <w:color w:val="0F6B49"/>
                <w:sz w:val="20"/>
                <w:szCs w:val="20"/>
              </w:rPr>
              <w:t xml:space="preserve">Total Scope 1+2</w:t>
            </w:r>
          </w:p>
        </w:tc>
        <w:tc>
          <w:tcPr>
            <w:tcW w:type="dxa" w:w="5700"/>
            <w:tcMar>
              <w:top w:type="dxa" w:w="80"/>
              <w:left w:type="dxa" w:w="120"/>
              <w:bottom w:type="dxa" w:w="80"/>
              <w:right w:type="dxa" w:w="120"/>
            </w:tcMar>
          </w:tcPr>
          <w:p>
            <w:r>
              <w:rPr>
                <w:b w:val="false"/>
                <w:bCs w:val="false"/>
                <w:color w:val="1A1A1A"/>
                <w:sz w:val="20"/>
                <w:szCs w:val="20"/>
              </w:rPr>
              <w:t xml:space="preserve">3,984 tCO2e</w:t>
            </w:r>
          </w:p>
        </w:tc>
      </w:tr>
      <w:tr>
        <w:tc>
          <w:tcPr>
            <w:tcW w:type="dxa" w:w="2800"/>
            <w:shd w:fill="E6F5EE" w:val="clear"/>
            <w:tcMar>
              <w:top w:type="dxa" w:w="80"/>
              <w:left w:type="dxa" w:w="120"/>
              <w:bottom w:type="dxa" w:w="80"/>
              <w:right w:type="dxa" w:w="120"/>
            </w:tcMar>
          </w:tcPr>
          <w:p>
            <w:r>
              <w:rPr>
                <w:b/>
                <w:bCs/>
                <w:color w:val="0F6B49"/>
                <w:sz w:val="20"/>
                <w:szCs w:val="20"/>
              </w:rPr>
              <w:t xml:space="preserve">Scope 3 (value chain, context only)</w:t>
            </w:r>
          </w:p>
        </w:tc>
        <w:tc>
          <w:tcPr>
            <w:tcW w:type="dxa" w:w="5700"/>
            <w:tcMar>
              <w:top w:type="dxa" w:w="80"/>
              <w:left w:type="dxa" w:w="120"/>
              <w:bottom w:type="dxa" w:w="80"/>
              <w:right w:type="dxa" w:w="120"/>
            </w:tcMar>
          </w:tcPr>
          <w:p>
            <w:r>
              <w:rPr>
                <w:b w:val="false"/>
                <w:bCs w:val="false"/>
                <w:color w:val="1A1A1A"/>
                <w:sz w:val="20"/>
                <w:szCs w:val="20"/>
              </w:rPr>
              <w:t xml:space="preserve">8,002 tCO2e</w:t>
            </w:r>
          </w:p>
        </w:tc>
      </w:tr>
      <w:tr>
        <w:tc>
          <w:tcPr>
            <w:tcW w:type="dxa" w:w="2800"/>
            <w:shd w:fill="E6F5EE" w:val="clear"/>
            <w:tcMar>
              <w:top w:type="dxa" w:w="80"/>
              <w:left w:type="dxa" w:w="120"/>
              <w:bottom w:type="dxa" w:w="80"/>
              <w:right w:type="dxa" w:w="120"/>
            </w:tcMar>
          </w:tcPr>
          <w:p>
            <w:r>
              <w:rPr>
                <w:b/>
                <w:bCs/>
                <w:color w:val="0F6B49"/>
                <w:sz w:val="20"/>
                <w:szCs w:val="20"/>
              </w:rPr>
              <w:t xml:space="preserve">Sector position</w:t>
            </w:r>
          </w:p>
        </w:tc>
        <w:tc>
          <w:tcPr>
            <w:tcW w:type="dxa" w:w="5700"/>
            <w:tcMar>
              <w:top w:type="dxa" w:w="80"/>
              <w:left w:type="dxa" w:w="120"/>
              <w:bottom w:type="dxa" w:w="80"/>
              <w:right w:type="dxa" w:w="120"/>
            </w:tcMar>
          </w:tcPr>
          <w:p>
            <w:r>
              <w:rPr>
                <w:b w:val="false"/>
                <w:bCs w:val="false"/>
                <w:color w:val="1A1A1A"/>
                <w:sz w:val="20"/>
                <w:szCs w:val="20"/>
              </w:rPr>
              <w:t xml:space="preserve">Near best-in-class — limited upside on energy efficiency</w:t>
            </w:r>
          </w:p>
        </w:tc>
      </w:tr>
      <w:tr>
        <w:tc>
          <w:tcPr>
            <w:tcW w:type="dxa" w:w="2800"/>
            <w:shd w:fill="E6F5EE" w:val="clear"/>
            <w:tcMar>
              <w:top w:type="dxa" w:w="80"/>
              <w:left w:type="dxa" w:w="120"/>
              <w:bottom w:type="dxa" w:w="80"/>
              <w:right w:type="dxa" w:w="120"/>
            </w:tcMar>
          </w:tcPr>
          <w:p>
            <w:r>
              <w:rPr>
                <w:b/>
                <w:bCs/>
                <w:color w:val="0F6B49"/>
                <w:sz w:val="20"/>
                <w:szCs w:val="20"/>
              </w:rPr>
              <w:t xml:space="preserve">Direct carbon taxpayer?</w:t>
            </w:r>
          </w:p>
        </w:tc>
        <w:tc>
          <w:tcPr>
            <w:tcW w:type="dxa" w:w="5700"/>
            <w:tcMar>
              <w:top w:type="dxa" w:w="80"/>
              <w:left w:type="dxa" w:w="120"/>
              <w:bottom w:type="dxa" w:w="80"/>
              <w:right w:type="dxa" w:w="120"/>
            </w:tcMar>
          </w:tcPr>
          <w:p>
            <w:r>
              <w:rPr>
                <w:b w:val="false"/>
                <w:bCs w:val="false"/>
                <w:color w:val="1A1A1A"/>
                <w:sz w:val="20"/>
                <w:szCs w:val="20"/>
              </w:rPr>
              <w:t xml:space="preserve">No — pass-through only, already in tariff</w:t>
            </w:r>
          </w:p>
        </w:tc>
      </w:tr>
    </w:tbl>
    <w:p>
      <w:pPr>
        <w:spacing w:after="100" w:before="240"/>
      </w:pPr>
      <w:r>
        <w:rPr>
          <w:b/>
          <w:bCs/>
          <w:color w:val="0F6B49"/>
          <w:sz w:val="24"/>
          <w:szCs w:val="24"/>
        </w:rPr>
        <w:t xml:space="preserve">Potential — what they could save</w:t>
      </w:r>
    </w:p>
    <w:tbl>
      <w:tblPr>
        <w:tblW w:type="dxa" w:w="8500"/>
        <w:tblBorders>
          <w:top w:val="single" w:color="DBE8E1" w:sz="2"/>
          <w:left w:val="single" w:color="DBE8E1" w:sz="2"/>
          <w:bottom w:val="single" w:color="DBE8E1" w:sz="2"/>
          <w:right w:val="single" w:color="DBE8E1" w:sz="2"/>
          <w:insideH w:val="single" w:color="DBE8E1" w:sz="2"/>
          <w:insideV w:val="single" w:color="DBE8E1" w:sz="2"/>
        </w:tblBorders>
      </w:tblPr>
      <w:tblGrid>
        <w:gridCol w:w="2800"/>
        <w:gridCol w:w="5700"/>
      </w:tblGrid>
      <w:tr>
        <w:tc>
          <w:tcPr>
            <w:tcW w:type="dxa" w:w="2800"/>
            <w:shd w:fill="E6F5EE" w:val="clear"/>
            <w:tcMar>
              <w:top w:type="dxa" w:w="80"/>
              <w:left w:type="dxa" w:w="120"/>
              <w:bottom w:type="dxa" w:w="80"/>
              <w:right w:type="dxa" w:w="120"/>
            </w:tcMar>
          </w:tcPr>
          <w:p>
            <w:r>
              <w:rPr>
                <w:b/>
                <w:bCs/>
                <w:color w:val="0F6B49"/>
                <w:sz w:val="20"/>
                <w:szCs w:val="20"/>
              </w:rPr>
              <w:t xml:space="preserve">Estimated Year-1 saving</w:t>
            </w:r>
          </w:p>
        </w:tc>
        <w:tc>
          <w:tcPr>
            <w:tcW w:type="dxa" w:w="5700"/>
            <w:tcMar>
              <w:top w:type="dxa" w:w="80"/>
              <w:left w:type="dxa" w:w="120"/>
              <w:bottom w:type="dxa" w:w="80"/>
              <w:right w:type="dxa" w:w="120"/>
            </w:tcMar>
          </w:tcPr>
          <w:p>
            <w:r>
              <w:rPr>
                <w:b w:val="false"/>
                <w:bCs w:val="false"/>
                <w:color w:val="1A1A1A"/>
                <w:sz w:val="20"/>
                <w:szCs w:val="20"/>
              </w:rPr>
              <w:t xml:space="preserve">S$119,471 – S$248,132</w:t>
            </w:r>
          </w:p>
        </w:tc>
      </w:tr>
      <w:tr>
        <w:tc>
          <w:tcPr>
            <w:tcW w:type="dxa" w:w="2800"/>
            <w:shd w:fill="E6F5EE" w:val="clear"/>
            <w:tcMar>
              <w:top w:type="dxa" w:w="80"/>
              <w:left w:type="dxa" w:w="120"/>
              <w:bottom w:type="dxa" w:w="80"/>
              <w:right w:type="dxa" w:w="120"/>
            </w:tcMar>
          </w:tcPr>
          <w:p>
            <w:r>
              <w:rPr>
                <w:b/>
                <w:bCs/>
                <w:color w:val="0F6B49"/>
                <w:sz w:val="20"/>
                <w:szCs w:val="20"/>
              </w:rPr>
              <w:t xml:space="preserve">Estimated 10-year cumulative saving</w:t>
            </w:r>
          </w:p>
        </w:tc>
        <w:tc>
          <w:tcPr>
            <w:tcW w:type="dxa" w:w="5700"/>
            <w:tcMar>
              <w:top w:type="dxa" w:w="80"/>
              <w:left w:type="dxa" w:w="120"/>
              <w:bottom w:type="dxa" w:w="80"/>
              <w:right w:type="dxa" w:w="120"/>
            </w:tcMar>
          </w:tcPr>
          <w:p>
            <w:r>
              <w:rPr>
                <w:b w:val="false"/>
                <w:bCs w:val="false"/>
                <w:color w:val="1A1A1A"/>
                <w:sz w:val="20"/>
                <w:szCs w:val="20"/>
              </w:rPr>
              <w:t xml:space="preserve">S$1,194,710 – S$2,481,322</w:t>
            </w:r>
          </w:p>
        </w:tc>
      </w:tr>
      <w:tr>
        <w:tc>
          <w:tcPr>
            <w:tcW w:type="dxa" w:w="2800"/>
            <w:shd w:fill="E6F5EE" w:val="clear"/>
            <w:tcMar>
              <w:top w:type="dxa" w:w="80"/>
              <w:left w:type="dxa" w:w="120"/>
              <w:bottom w:type="dxa" w:w="80"/>
              <w:right w:type="dxa" w:w="120"/>
            </w:tcMar>
          </w:tcPr>
          <w:p>
            <w:r>
              <w:rPr>
                <w:b/>
                <w:bCs/>
                <w:color w:val="0F6B49"/>
                <w:sz w:val="20"/>
                <w:szCs w:val="20"/>
              </w:rPr>
              <w:t xml:space="preserve">Payback period</w:t>
            </w:r>
          </w:p>
        </w:tc>
        <w:tc>
          <w:tcPr>
            <w:tcW w:type="dxa" w:w="5700"/>
            <w:tcMar>
              <w:top w:type="dxa" w:w="80"/>
              <w:left w:type="dxa" w:w="120"/>
              <w:bottom w:type="dxa" w:w="80"/>
              <w:right w:type="dxa" w:w="120"/>
            </w:tcMar>
          </w:tcPr>
          <w:p>
            <w:r>
              <w:rPr>
                <w:b w:val="false"/>
                <w:bCs w:val="false"/>
                <w:color w:val="1A1A1A"/>
                <w:sz w:val="20"/>
                <w:szCs w:val="20"/>
              </w:rPr>
              <w:t xml:space="preserve">6.5 years</w:t>
            </w:r>
          </w:p>
        </w:tc>
      </w:tr>
      <w:tr>
        <w:tc>
          <w:tcPr>
            <w:tcW w:type="dxa" w:w="2800"/>
            <w:shd w:fill="E6F5EE" w:val="clear"/>
            <w:tcMar>
              <w:top w:type="dxa" w:w="80"/>
              <w:left w:type="dxa" w:w="120"/>
              <w:bottom w:type="dxa" w:w="80"/>
              <w:right w:type="dxa" w:w="120"/>
            </w:tcMar>
          </w:tcPr>
          <w:p>
            <w:r>
              <w:rPr>
                <w:b/>
                <w:bCs/>
                <w:color w:val="0F6B49"/>
                <w:sz w:val="20"/>
                <w:szCs w:val="20"/>
              </w:rPr>
              <w:t xml:space="preserve">Applied energy-saving rate</w:t>
            </w:r>
          </w:p>
        </w:tc>
        <w:tc>
          <w:tcPr>
            <w:tcW w:type="dxa" w:w="5700"/>
            <w:tcMar>
              <w:top w:type="dxa" w:w="80"/>
              <w:left w:type="dxa" w:w="120"/>
              <w:bottom w:type="dxa" w:w="80"/>
              <w:right w:type="dxa" w:w="120"/>
            </w:tcMar>
          </w:tcPr>
          <w:p>
            <w:r>
              <w:rPr>
                <w:b w:val="false"/>
                <w:bCs w:val="false"/>
                <w:color w:val="1A1A1A"/>
                <w:sz w:val="20"/>
                <w:szCs w:val="20"/>
              </w:rPr>
              <w:t xml:space="preserve">8%</w:t>
            </w:r>
          </w:p>
        </w:tc>
      </w:tr>
      <w:tr>
        <w:tc>
          <w:tcPr>
            <w:tcW w:type="dxa" w:w="2800"/>
            <w:shd w:fill="E6F5EE" w:val="clear"/>
            <w:tcMar>
              <w:top w:type="dxa" w:w="80"/>
              <w:left w:type="dxa" w:w="120"/>
              <w:bottom w:type="dxa" w:w="80"/>
              <w:right w:type="dxa" w:w="120"/>
            </w:tcMar>
          </w:tcPr>
          <w:p>
            <w:r>
              <w:rPr>
                <w:b/>
                <w:bCs/>
                <w:color w:val="0F6B49"/>
                <w:sz w:val="20"/>
                <w:szCs w:val="20"/>
              </w:rPr>
              <w:t xml:space="preserve">Confidence level</w:t>
            </w:r>
          </w:p>
        </w:tc>
        <w:tc>
          <w:tcPr>
            <w:tcW w:type="dxa" w:w="5700"/>
            <w:tcMar>
              <w:top w:type="dxa" w:w="80"/>
              <w:left w:type="dxa" w:w="120"/>
              <w:bottom w:type="dxa" w:w="80"/>
              <w:right w:type="dxa" w:w="120"/>
            </w:tcMar>
          </w:tcPr>
          <w:p>
            <w:r>
              <w:rPr>
                <w:b w:val="false"/>
                <w:bCs w:val="false"/>
                <w:color w:val="1A1A1A"/>
                <w:sz w:val="20"/>
                <w:szCs w:val="20"/>
              </w:rPr>
              <w:t xml:space="preserve">Low (±35% range shown above for Low; see reasons below)</w:t>
            </w:r>
          </w:p>
        </w:tc>
      </w:tr>
    </w:tbl>
    <w:p>
      <w:pPr>
        <w:pStyle w:val="ListParagraph"/>
        <w:numPr>
          <w:ilvl w:val="0"/>
          <w:numId w:val="1"/>
        </w:numPr>
        <w:spacing w:after="60"/>
      </w:pPr>
      <w:r>
        <w:rPr>
          <w:color w:val="1A1A1A"/>
          <w:sz w:val="20"/>
          <w:szCs w:val="20"/>
        </w:rPr>
        <w:t xml:space="preserve">One or more sites use the reference tariff instead of an actual contract rate</w:t>
      </w:r>
    </w:p>
    <w:p>
      <w:pPr>
        <w:pStyle w:val="ListParagraph"/>
        <w:numPr>
          <w:ilvl w:val="0"/>
          <w:numId w:val="1"/>
        </w:numPr>
        <w:spacing w:after="60"/>
      </w:pPr>
      <w:r>
        <w:rPr>
          <w:color w:val="1A1A1A"/>
          <w:sz w:val="20"/>
          <w:szCs w:val="20"/>
        </w:rPr>
        <w:t xml:space="preserve">Scope 3 Cat 1/4/9 uses spend-based EEIO factors (±35%), not supplier- or shipment-level activity data</w:t>
      </w:r>
    </w:p>
    <w:p>
      <w:pPr>
        <w:spacing w:after="100" w:before="240"/>
      </w:pPr>
      <w:r>
        <w:rPr>
          <w:b/>
          <w:bCs/>
          <w:color w:val="0F6B49"/>
          <w:sz w:val="24"/>
          <w:szCs w:val="24"/>
        </w:rPr>
        <w:t xml:space="preserve">What needs to be done</w:t>
      </w:r>
    </w:p>
    <w:p>
      <w:pPr>
        <w:pStyle w:val="ListParagraph"/>
        <w:numPr>
          <w:ilvl w:val="0"/>
          <w:numId w:val="1"/>
        </w:numPr>
        <w:spacing w:after="60"/>
      </w:pPr>
      <w:r>
        <w:rPr>
          <w:color w:val="1A1A1A"/>
          <w:sz w:val="20"/>
          <w:szCs w:val="20"/>
        </w:rPr>
        <w:t xml:space="preserve">EcoStruxure Building Operation (EBO) (primary)</w:t>
      </w:r>
    </w:p>
    <w:p>
      <w:pPr>
        <w:pStyle w:val="ListParagraph"/>
        <w:numPr>
          <w:ilvl w:val="0"/>
          <w:numId w:val="1"/>
        </w:numPr>
        <w:spacing w:after="60"/>
      </w:pPr>
      <w:r>
        <w:rPr>
          <w:color w:val="1A1A1A"/>
          <w:sz w:val="20"/>
          <w:szCs w:val="20"/>
        </w:rPr>
        <w:t xml:space="preserve">EcoStruxure Resource Advisor (add-on)</w:t>
      </w:r>
    </w:p>
    <w:p>
      <w:pPr>
        <w:pStyle w:val="ListParagraph"/>
        <w:numPr>
          <w:ilvl w:val="0"/>
          <w:numId w:val="1"/>
        </w:numPr>
        <w:spacing w:after="60"/>
      </w:pPr>
      <w:r>
        <w:rPr>
          <w:color w:val="1A1A1A"/>
          <w:sz w:val="20"/>
          <w:szCs w:val="20"/>
        </w:rPr>
        <w:t xml:space="preserve">EcoStruxure Microgrid / EaaS (add-on)</w:t>
      </w:r>
    </w:p>
    <w:p>
      <w:pPr>
        <w:pStyle w:val="ListParagraph"/>
        <w:numPr>
          <w:ilvl w:val="0"/>
          <w:numId w:val="1"/>
        </w:numPr>
        <w:spacing w:after="60"/>
      </w:pPr>
      <w:r>
        <w:rPr>
          <w:color w:val="1A1A1A"/>
          <w:sz w:val="20"/>
          <w:szCs w:val="20"/>
        </w:rPr>
        <w:t xml:space="preserve">EcoStruxure Resource Advisor (Scope 3 module) (scope3)</w:t>
      </w:r>
    </w:p>
    <w:p>
      <w:pPr>
        <w:spacing w:after="100" w:before="240"/>
      </w:pPr>
      <w:r>
        <w:rPr>
          <w:b/>
          <w:bCs/>
          <w:color w:val="0F6B49"/>
          <w:sz w:val="24"/>
          <w:szCs w:val="24"/>
        </w:rPr>
        <w:t xml:space="preserve">Regulatory / compliance flags</w:t>
      </w:r>
    </w:p>
    <w:p>
      <w:pPr>
        <w:pStyle w:val="ListParagraph"/>
        <w:numPr>
          <w:ilvl w:val="0"/>
          <w:numId w:val="1"/>
        </w:numPr>
        <w:spacing w:after="60"/>
      </w:pPr>
      <w:r>
        <w:rPr>
          <w:color w:val="1A1A1A"/>
          <w:sz w:val="20"/>
          <w:szCs w:val="20"/>
        </w:rPr>
        <w:t xml:space="preserve">green: Not a direct carbon taxpayer</w:t>
      </w:r>
    </w:p>
    <w:p>
      <w:pPr>
        <w:pStyle w:val="ListParagraph"/>
        <w:numPr>
          <w:ilvl w:val="0"/>
          <w:numId w:val="1"/>
        </w:numPr>
        <w:spacing w:after="60"/>
      </w:pPr>
      <w:r>
        <w:rPr>
          <w:color w:val="1A1A1A"/>
          <w:sz w:val="20"/>
          <w:szCs w:val="20"/>
        </w:rPr>
        <w:t xml:space="preserve">yellow: Scope 3 downstream pressure</w:t>
      </w:r>
    </w:p>
    <w:p>
      <w:pPr>
        <w:spacing w:after="100" w:before="240"/>
      </w:pPr>
      <w:r>
        <w:rPr>
          <w:b/>
          <w:bCs/>
          <w:color w:val="0F6B49"/>
          <w:sz w:val="24"/>
          <w:szCs w:val="24"/>
        </w:rPr>
        <w:t xml:space="preserve">Plain-English summary (as shown to the client)</w:t>
      </w:r>
    </w:p>
    <w:p>
      <w:pPr>
        <w:spacing w:after="160"/>
      </w:pPr>
      <w:r>
        <w:rPr>
          <w:i w:val="false"/>
          <w:iCs w:val="false"/>
          <w:color w:val="1A1A1A"/>
          <w:sz w:val="21"/>
          <w:szCs w:val="21"/>
        </w:rPr>
        <w:t xml:space="preserve">PanAsia Logistics Holdings Pte Ltd — a Logistics business across 2 Singapore site(s) with 600 employees — emits approximately 3,984 tCO₂e/year across Scope 1 and 2. By deploying EcoStruxure Building Operation (EBO) alongside EcoStruxure Resource Advisor and EcoStruxure Microgrid / EaaS, you could save an estimated S$183,802 per year on energy costs. Your direct (Scope 1) emissions are below the 25,000 tCO2e/year carbon tax threshold, so no separate carbon tax saving is shown — that cost is already embedded in the electricity tariff used above. At your stated investment level, payback is approximately 6.5 years. This fits your preferred "EaaS" engagement model within your stated 500k-5M budget range. Over 10 years, the cumulative financial benefit is estimated at S$1,194,710 to S$2,481,322. Your Scope 3 footprint across the 6 priority categories is estimated at ~8,002 tCO₂e/year — identified but not included in the financial saving. EcoStruxure Resource Advisor can help track and report this for SBTi purposes.</w:t>
      </w:r>
    </w:p>
    <w:p>
      <w:pPr>
        <w:spacing w:after="100" w:before="240"/>
      </w:pPr>
      <w:r>
        <w:rPr>
          <w:b/>
          <w:bCs/>
          <w:color w:val="0F6B49"/>
          <w:sz w:val="24"/>
          <w:szCs w:val="24"/>
        </w:rPr>
        <w:t xml:space="preserve">Key caveats disclosed to the user</w:t>
      </w:r>
    </w:p>
    <w:p>
      <w:pPr>
        <w:pStyle w:val="ListParagraph"/>
        <w:numPr>
          <w:ilvl w:val="0"/>
          <w:numId w:val="1"/>
        </w:numPr>
        <w:spacing w:after="60"/>
      </w:pPr>
      <w:r>
        <w:rPr>
          <w:color w:val="1A1A1A"/>
          <w:sz w:val="20"/>
          <w:szCs w:val="20"/>
        </w:rPr>
        <w:t xml:space="preserve">No separate carbon tax saving is shown: Singapore's carbon tax applies only to ~50 large facilities with ≥25,000 tCO2e/year of direct (Scope 1) emissions. Your exposure is a small pass-through already reflected in your electricity tariffs — showing it twice would double-count the same cost.</w:t>
      </w:r>
    </w:p>
    <w:p>
      <w:pPr>
        <w:pStyle w:val="ListParagraph"/>
        <w:numPr>
          <w:ilvl w:val="0"/>
          <w:numId w:val="1"/>
        </w:numPr>
        <w:spacing w:after="60"/>
      </w:pPr>
      <w:r>
        <w:rPr>
          <w:color w:val="1A1A1A"/>
          <w:sz w:val="20"/>
          <w:szCs w:val="20"/>
        </w:rPr>
        <w:t xml:space="preserve">Hotel-night emissions use an indicative industry-average factor, not a DEFRA-sourced figure.</w:t>
      </w:r>
    </w:p>
    <w:p>
      <w:pPr>
        <w:pStyle w:val="ListParagraph"/>
        <w:numPr>
          <w:ilvl w:val="0"/>
          <w:numId w:val="1"/>
        </w:numPr>
        <w:spacing w:after="60"/>
      </w:pPr>
      <w:r>
        <w:rPr>
          <w:color w:val="1A1A1A"/>
          <w:sz w:val="20"/>
          <w:szCs w:val="20"/>
        </w:rPr>
        <w:t xml:space="preserve">Employee commuting uses placeholder per-mode emission factors pending DEFRA-sourced sign-off — see data/scope3_factors.json.</w:t>
      </w:r>
    </w:p>
    <w:p>
      <w:r>
        <w:br w:type="page"/>
      </w:r>
    </w:p>
    <w:p>
      <w:pPr>
        <w:pStyle w:val="Heading1"/>
        <w:spacing w:after="200" w:before="400"/>
      </w:pPr>
      <w:r>
        <w:t xml:space="preserve">Summary</w:t>
      </w:r>
    </w:p>
    <w:p>
      <w:pPr>
        <w:spacing w:after="160"/>
      </w:pPr>
      <w:r>
        <w:rPr>
          <w:i w:val="false"/>
          <w:iCs w:val="false"/>
          <w:color w:val="1A1A1A"/>
          <w:sz w:val="21"/>
          <w:szCs w:val="21"/>
        </w:rPr>
        <w:t xml:space="preserve">Across all six scenarios — spanning a S$3.2M-revenue grocery retailer up to a S$180M-revenue hotel group — the calculator consistently produced internally consistent, defensible figures: every Scope 1/2/3 breakdown traced exactly to its source emission factors, every saving range traced exactly to the confidence-adjusted year-1 and 10-year totals, and every payback period traced exactly to the investment, grant, and year-by-year saving schedule. Notably, none of the six profiles was flagged as a direct carbon taxpayer — including the two largest MNCs — correctly reflecting that Singapore's carbon tax applies only to direct (Scope 1) emissions above 25,000 tCO2e/year, which none of these profiles' fuel, gas, or refrigerant use reaches even at MNC scale, since their footprint is dominated by purchased (Scope 2) electricity.</w:t>
      </w:r>
    </w:p>
    <w:p>
      <w:pPr>
        <w:spacing w:after="160"/>
      </w:pPr>
      <w:r>
        <w:rPr>
          <w:i w:val="false"/>
          <w:iCs w:val="false"/>
          <w:color w:val="1A1A1A"/>
          <w:sz w:val="21"/>
          <w:szCs w:val="21"/>
        </w:rPr>
        <w:t xml:space="preserve">The one new capability exercised for the first time in this report — the spend-based freight fallback for MNC users who don't have tonne-km data (PanAsia Logistics) — computed correctly and matched an independent hand calculation to the decimal (8,001.932 tCO2e).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2026-09-18T02:34:09.593Z</dcterms:created>
  <dcterms:modified xsi:type="dcterms:W3CDTF">2026-09-18T02:34:09.593Z</dcterms:modified>
</cp:coreProperties>
</file>

<file path=docProps/custom.xml><?xml version="1.0" encoding="utf-8"?>
<Properties xmlns="http://schemas.openxmlformats.org/officeDocument/2006/custom-properties" xmlns:vt="http://schemas.openxmlformats.org/officeDocument/2006/docPropsVTypes"/>
</file>