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D1F6" w14:textId="60B5E2EE" w:rsidR="00DD54FF" w:rsidRDefault="00610FCA">
      <w:r>
        <w:t>Carnet de bord</w:t>
      </w:r>
    </w:p>
    <w:p w14:paraId="3CCFBE98" w14:textId="08CFA9E9" w:rsidR="00AF03F1" w:rsidRDefault="00AF03F1"/>
    <w:p w14:paraId="21B5F735" w14:textId="69392910" w:rsidR="00AF03F1" w:rsidRDefault="00AF03F1" w:rsidP="00AF03F1">
      <w:pPr>
        <w:pStyle w:val="Titre1"/>
      </w:pPr>
      <w:r>
        <w:t>14/02/23</w:t>
      </w:r>
    </w:p>
    <w:p w14:paraId="2432B83A" w14:textId="6D4EE70D" w:rsidR="00610FCA" w:rsidRDefault="00610FCA"/>
    <w:p w14:paraId="0702DCE1" w14:textId="12C31363" w:rsidR="00610FCA" w:rsidRDefault="00610FCA">
      <w:r>
        <w:t>CLCPRO – 10 états membres (du Tchad à la Mauritanie) avec siège à Alger</w:t>
      </w:r>
      <w:r w:rsidR="00F50A6B">
        <w:t xml:space="preserve"> et présidence algérienne entre 2022-2024. </w:t>
      </w:r>
    </w:p>
    <w:p w14:paraId="3D868952" w14:textId="77777777" w:rsidR="00610FCA" w:rsidRDefault="00610FCA"/>
    <w:p w14:paraId="49B37B9E" w14:textId="7A5F84D6" w:rsidR="00610FCA" w:rsidRDefault="00610FCA">
      <w:r>
        <w:t>Formation de la CLCPRO en 6 volets (au niveau national principalement, régional et individuel dans une moindre mesure).</w:t>
      </w:r>
    </w:p>
    <w:p w14:paraId="325FEB01" w14:textId="50D3BF44" w:rsidR="00610FCA" w:rsidRDefault="00610FCA" w:rsidP="00610FCA">
      <w:pPr>
        <w:pStyle w:val="Paragraphedeliste"/>
        <w:numPr>
          <w:ilvl w:val="0"/>
          <w:numId w:val="1"/>
        </w:numPr>
      </w:pPr>
      <w:r>
        <w:t xml:space="preserve">Bio-écologie des criquets </w:t>
      </w:r>
    </w:p>
    <w:p w14:paraId="665D6EAA" w14:textId="19BC0555" w:rsidR="00610FCA" w:rsidRDefault="00610FCA" w:rsidP="00610FCA">
      <w:pPr>
        <w:pStyle w:val="Paragraphedeliste"/>
        <w:numPr>
          <w:ilvl w:val="0"/>
          <w:numId w:val="1"/>
        </w:numPr>
      </w:pPr>
      <w:r>
        <w:t xml:space="preserve">Techniques de prospection </w:t>
      </w:r>
    </w:p>
    <w:p w14:paraId="6988FBF8" w14:textId="77777777" w:rsidR="00610FCA" w:rsidRDefault="00610FCA" w:rsidP="00610FCA">
      <w:pPr>
        <w:pStyle w:val="Paragraphedeliste"/>
        <w:numPr>
          <w:ilvl w:val="0"/>
          <w:numId w:val="1"/>
        </w:numPr>
      </w:pPr>
      <w:r>
        <w:t xml:space="preserve">Techniques d’application des pesticides </w:t>
      </w:r>
    </w:p>
    <w:p w14:paraId="687D2A87" w14:textId="77777777" w:rsidR="00610FCA" w:rsidRDefault="00610FCA" w:rsidP="00610FCA">
      <w:pPr>
        <w:pStyle w:val="Paragraphedeliste"/>
        <w:numPr>
          <w:ilvl w:val="0"/>
          <w:numId w:val="1"/>
        </w:numPr>
      </w:pPr>
      <w:r>
        <w:t xml:space="preserve">Le suivi sanitaire </w:t>
      </w:r>
    </w:p>
    <w:p w14:paraId="7F951E3A" w14:textId="77777777" w:rsidR="00610FCA" w:rsidRDefault="00610FCA" w:rsidP="00610FCA">
      <w:pPr>
        <w:pStyle w:val="Paragraphedeliste"/>
        <w:numPr>
          <w:ilvl w:val="0"/>
          <w:numId w:val="1"/>
        </w:numPr>
      </w:pPr>
      <w:r>
        <w:t xml:space="preserve">Le suivi </w:t>
      </w:r>
      <w:proofErr w:type="spellStart"/>
      <w:r>
        <w:t>enviro</w:t>
      </w:r>
      <w:proofErr w:type="spellEnd"/>
      <w:r>
        <w:t xml:space="preserve"> </w:t>
      </w:r>
    </w:p>
    <w:p w14:paraId="31B3594A" w14:textId="60CB8A70" w:rsidR="00610FCA" w:rsidRDefault="00610FCA" w:rsidP="00610FCA">
      <w:pPr>
        <w:pStyle w:val="Paragraphedeliste"/>
        <w:numPr>
          <w:ilvl w:val="0"/>
          <w:numId w:val="1"/>
        </w:numPr>
      </w:pPr>
      <w:r>
        <w:t>Le système de gestion des stocks de pesticides</w:t>
      </w:r>
    </w:p>
    <w:p w14:paraId="7B8AE3D8" w14:textId="2212A9FF" w:rsidR="00F50A6B" w:rsidRDefault="00F50A6B" w:rsidP="00F50A6B"/>
    <w:p w14:paraId="1011AFEE" w14:textId="77777777" w:rsidR="00AF03F1" w:rsidRDefault="00F50A6B" w:rsidP="00AF03F1">
      <w:pPr>
        <w:pStyle w:val="NormalWeb"/>
        <w:rPr>
          <w:rFonts w:ascii="Times" w:hAnsi="Times"/>
          <w:sz w:val="22"/>
          <w:szCs w:val="22"/>
        </w:rPr>
      </w:pPr>
      <w:r>
        <w:t xml:space="preserve">Lecture </w:t>
      </w:r>
      <w:r w:rsidR="00AF03F1" w:rsidRPr="00AF03F1">
        <w:rPr>
          <w:rFonts w:ascii="Times" w:hAnsi="Times"/>
          <w:sz w:val="22"/>
          <w:szCs w:val="22"/>
        </w:rPr>
        <w:tab/>
      </w:r>
    </w:p>
    <w:p w14:paraId="4D68FED1" w14:textId="364DC61C" w:rsidR="00F50A6B" w:rsidRPr="00AF03F1" w:rsidRDefault="00AF03F1" w:rsidP="00AF03F1">
      <w:pPr>
        <w:pStyle w:val="NormalWeb"/>
        <w:rPr>
          <w:rFonts w:ascii="Times" w:hAnsi="Times"/>
          <w:i/>
          <w:iCs/>
          <w:sz w:val="22"/>
          <w:szCs w:val="22"/>
        </w:rPr>
      </w:pPr>
      <w:r w:rsidRPr="00AF03F1">
        <w:rPr>
          <w:rFonts w:ascii="Times" w:hAnsi="Times"/>
          <w:i/>
          <w:iCs/>
          <w:sz w:val="22"/>
          <w:szCs w:val="22"/>
        </w:rPr>
        <w:t xml:space="preserve">Rapport </w:t>
      </w:r>
      <w:proofErr w:type="gramStart"/>
      <w:r w:rsidRPr="00AF03F1">
        <w:rPr>
          <w:rFonts w:ascii="Times" w:hAnsi="Times"/>
          <w:i/>
          <w:iCs/>
          <w:sz w:val="22"/>
          <w:szCs w:val="22"/>
        </w:rPr>
        <w:t>final  «</w:t>
      </w:r>
      <w:proofErr w:type="gramEnd"/>
      <w:r w:rsidRPr="00AF03F1">
        <w:rPr>
          <w:rFonts w:ascii="Times" w:hAnsi="Times"/>
          <w:i/>
          <w:iCs/>
          <w:sz w:val="22"/>
          <w:szCs w:val="22"/>
        </w:rPr>
        <w:t xml:space="preserve"> d’appui au Programme EMPRES Criquet </w:t>
      </w:r>
      <w:proofErr w:type="spellStart"/>
      <w:r w:rsidRPr="00AF03F1">
        <w:rPr>
          <w:rFonts w:ascii="Times" w:hAnsi="Times"/>
          <w:i/>
          <w:iCs/>
          <w:sz w:val="22"/>
          <w:szCs w:val="22"/>
        </w:rPr>
        <w:t>pèlerin</w:t>
      </w:r>
      <w:proofErr w:type="spellEnd"/>
      <w:r w:rsidRPr="00AF03F1">
        <w:rPr>
          <w:rFonts w:ascii="Times" w:hAnsi="Times"/>
          <w:i/>
          <w:iCs/>
          <w:sz w:val="22"/>
          <w:szCs w:val="22"/>
        </w:rPr>
        <w:t xml:space="preserve"> en </w:t>
      </w:r>
      <w:proofErr w:type="spellStart"/>
      <w:r w:rsidRPr="00AF03F1">
        <w:rPr>
          <w:rFonts w:ascii="Times" w:hAnsi="Times"/>
          <w:i/>
          <w:iCs/>
          <w:sz w:val="22"/>
          <w:szCs w:val="22"/>
        </w:rPr>
        <w:t>Région</w:t>
      </w:r>
      <w:proofErr w:type="spellEnd"/>
      <w:r w:rsidRPr="00AF03F1">
        <w:rPr>
          <w:rFonts w:ascii="Times" w:hAnsi="Times"/>
          <w:i/>
          <w:iCs/>
          <w:sz w:val="22"/>
          <w:szCs w:val="22"/>
        </w:rPr>
        <w:t xml:space="preserve"> occidentale pour l’</w:t>
      </w:r>
      <w:proofErr w:type="spellStart"/>
      <w:r w:rsidRPr="00AF03F1">
        <w:rPr>
          <w:rFonts w:ascii="Times" w:hAnsi="Times"/>
          <w:i/>
          <w:iCs/>
          <w:sz w:val="22"/>
          <w:szCs w:val="22"/>
        </w:rPr>
        <w:t>amélioration</w:t>
      </w:r>
      <w:proofErr w:type="spellEnd"/>
      <w:r w:rsidRPr="00AF03F1">
        <w:rPr>
          <w:rFonts w:ascii="Times" w:hAnsi="Times"/>
          <w:i/>
          <w:iCs/>
          <w:sz w:val="22"/>
          <w:szCs w:val="22"/>
        </w:rPr>
        <w:t xml:space="preserve"> de la </w:t>
      </w:r>
      <w:proofErr w:type="spellStart"/>
      <w:r w:rsidRPr="00AF03F1">
        <w:rPr>
          <w:rFonts w:ascii="Times" w:hAnsi="Times"/>
          <w:i/>
          <w:iCs/>
          <w:sz w:val="22"/>
          <w:szCs w:val="22"/>
        </w:rPr>
        <w:t>prévention</w:t>
      </w:r>
      <w:proofErr w:type="spellEnd"/>
      <w:r w:rsidRPr="00AF03F1">
        <w:rPr>
          <w:rFonts w:ascii="Times" w:hAnsi="Times"/>
          <w:i/>
          <w:iCs/>
          <w:sz w:val="22"/>
          <w:szCs w:val="22"/>
        </w:rPr>
        <w:t xml:space="preserve"> et de la gestion des crises acridiennes » </w:t>
      </w:r>
      <w:r>
        <w:rPr>
          <w:rFonts w:ascii="Times" w:hAnsi="Times"/>
          <w:i/>
          <w:iCs/>
          <w:sz w:val="22"/>
          <w:szCs w:val="22"/>
        </w:rPr>
        <w:t xml:space="preserve"> </w:t>
      </w:r>
      <w:r w:rsidRPr="00AF03F1">
        <w:rPr>
          <w:rFonts w:ascii="Times" w:hAnsi="Times"/>
          <w:i/>
          <w:iCs/>
          <w:sz w:val="22"/>
          <w:szCs w:val="22"/>
        </w:rPr>
        <w:t xml:space="preserve">Conception et fourniture d’un « </w:t>
      </w:r>
      <w:proofErr w:type="spellStart"/>
      <w:r w:rsidRPr="00AF03F1">
        <w:rPr>
          <w:rFonts w:ascii="Times" w:hAnsi="Times"/>
          <w:i/>
          <w:iCs/>
          <w:sz w:val="22"/>
          <w:szCs w:val="22"/>
        </w:rPr>
        <w:t>Système</w:t>
      </w:r>
      <w:proofErr w:type="spellEnd"/>
      <w:r w:rsidRPr="00AF03F1">
        <w:rPr>
          <w:rFonts w:ascii="Times" w:hAnsi="Times"/>
          <w:i/>
          <w:iCs/>
          <w:sz w:val="22"/>
          <w:szCs w:val="22"/>
        </w:rPr>
        <w:t xml:space="preserve"> de veille des dispositifs nationaux de lutte contre le Criquet </w:t>
      </w:r>
      <w:proofErr w:type="spellStart"/>
      <w:r w:rsidRPr="00AF03F1">
        <w:rPr>
          <w:rFonts w:ascii="Times" w:hAnsi="Times"/>
          <w:i/>
          <w:iCs/>
          <w:sz w:val="22"/>
          <w:szCs w:val="22"/>
        </w:rPr>
        <w:t>pèlerin</w:t>
      </w:r>
      <w:proofErr w:type="spellEnd"/>
      <w:r w:rsidRPr="00AF03F1">
        <w:rPr>
          <w:rFonts w:ascii="Times" w:hAnsi="Times"/>
          <w:i/>
          <w:iCs/>
          <w:sz w:val="22"/>
          <w:szCs w:val="22"/>
        </w:rPr>
        <w:t xml:space="preserve"> en </w:t>
      </w:r>
      <w:proofErr w:type="spellStart"/>
      <w:r w:rsidRPr="00AF03F1">
        <w:rPr>
          <w:rFonts w:ascii="Times" w:hAnsi="Times"/>
          <w:i/>
          <w:iCs/>
          <w:sz w:val="22"/>
          <w:szCs w:val="22"/>
        </w:rPr>
        <w:t>Région</w:t>
      </w:r>
      <w:proofErr w:type="spellEnd"/>
      <w:r w:rsidRPr="00AF03F1">
        <w:rPr>
          <w:rFonts w:ascii="Times" w:hAnsi="Times"/>
          <w:i/>
          <w:iCs/>
          <w:sz w:val="22"/>
          <w:szCs w:val="22"/>
        </w:rPr>
        <w:t xml:space="preserve"> occidentale » </w:t>
      </w:r>
      <w:hyperlink r:id="rId5" w:history="1">
        <w:r w:rsidRPr="00D84735">
          <w:rPr>
            <w:rStyle w:val="Lienhypertexte"/>
          </w:rPr>
          <w:t>https://agritrop.cirad.fr/556112/1/document_556112.pdf</w:t>
        </w:r>
      </w:hyperlink>
      <w:r>
        <w:t xml:space="preserve"> </w:t>
      </w:r>
    </w:p>
    <w:p w14:paraId="158668B0" w14:textId="77777777" w:rsidR="00F50A6B" w:rsidRDefault="00F50A6B" w:rsidP="00F50A6B">
      <w:r>
        <w:t>Citations</w:t>
      </w:r>
    </w:p>
    <w:p w14:paraId="7D9E6C9E" w14:textId="77777777" w:rsidR="00F50A6B" w:rsidRDefault="00F50A6B" w:rsidP="00F50A6B"/>
    <w:p w14:paraId="61CEDF92" w14:textId="2F877D0D" w:rsidR="00F50A6B" w:rsidRDefault="00F50A6B" w:rsidP="00F50A6B">
      <w:pPr>
        <w:rPr>
          <w:rFonts w:ascii="TrebuchetMS" w:hAnsi="TrebuchetMS"/>
        </w:rPr>
      </w:pPr>
      <w:r>
        <w:rPr>
          <w:rFonts w:ascii="TrebuchetMS" w:hAnsi="TrebuchetMS"/>
        </w:rPr>
        <w:t xml:space="preserve">La lutte </w:t>
      </w:r>
      <w:proofErr w:type="spellStart"/>
      <w:r>
        <w:rPr>
          <w:rFonts w:ascii="TrebuchetMS" w:hAnsi="TrebuchetMS"/>
        </w:rPr>
        <w:t>préventive</w:t>
      </w:r>
      <w:proofErr w:type="spellEnd"/>
      <w:r>
        <w:rPr>
          <w:rFonts w:ascii="TrebuchetMS" w:hAnsi="TrebuchetMS"/>
        </w:rPr>
        <w:t xml:space="preserve"> consiste </w:t>
      </w:r>
      <w:proofErr w:type="spellStart"/>
      <w:r>
        <w:rPr>
          <w:rFonts w:ascii="TrebuchetMS" w:hAnsi="TrebuchetMS"/>
        </w:rPr>
        <w:t>a</w:t>
      </w:r>
      <w:proofErr w:type="spellEnd"/>
      <w:r>
        <w:rPr>
          <w:rFonts w:ascii="TrebuchetMS" w:hAnsi="TrebuchetMS"/>
        </w:rPr>
        <w:t xml:space="preserve">̀ surveiller les aires </w:t>
      </w:r>
      <w:proofErr w:type="spellStart"/>
      <w:r>
        <w:rPr>
          <w:rFonts w:ascii="TrebuchetMS" w:hAnsi="TrebuchetMS"/>
        </w:rPr>
        <w:t>grégarigènes</w:t>
      </w:r>
      <w:proofErr w:type="spellEnd"/>
      <w:r>
        <w:rPr>
          <w:rFonts w:ascii="TrebuchetMS" w:hAnsi="TrebuchetMS"/>
        </w:rPr>
        <w:t xml:space="preserve">, </w:t>
      </w:r>
      <w:proofErr w:type="spellStart"/>
      <w:r>
        <w:rPr>
          <w:rFonts w:ascii="TrebuchetMS" w:hAnsi="TrebuchetMS"/>
        </w:rPr>
        <w:t>situées</w:t>
      </w:r>
      <w:proofErr w:type="spellEnd"/>
      <w:r>
        <w:rPr>
          <w:rFonts w:ascii="TrebuchetMS" w:hAnsi="TrebuchetMS"/>
        </w:rPr>
        <w:t xml:space="preserve"> essentiellement au sud du Sahara dans les 4 pays de la </w:t>
      </w:r>
      <w:r w:rsidRPr="00886503">
        <w:rPr>
          <w:rFonts w:ascii="TrebuchetMS" w:hAnsi="TrebuchetMS"/>
          <w:b/>
          <w:bCs/>
        </w:rPr>
        <w:t xml:space="preserve">ligne de front </w:t>
      </w:r>
      <w:r>
        <w:rPr>
          <w:rFonts w:ascii="TrebuchetMS" w:hAnsi="TrebuchetMS"/>
        </w:rPr>
        <w:t xml:space="preserve">(Mauritanie, Mali, Niger et Tchad) afin de </w:t>
      </w:r>
      <w:proofErr w:type="spellStart"/>
      <w:r>
        <w:rPr>
          <w:rFonts w:ascii="TrebuchetMS" w:hAnsi="TrebuchetMS"/>
        </w:rPr>
        <w:t>détruire</w:t>
      </w:r>
      <w:proofErr w:type="spellEnd"/>
      <w:r>
        <w:rPr>
          <w:rFonts w:ascii="TrebuchetMS" w:hAnsi="TrebuchetMS"/>
        </w:rPr>
        <w:t xml:space="preserve"> les premiers regroupements de Criquet </w:t>
      </w:r>
      <w:proofErr w:type="spellStart"/>
      <w:r>
        <w:rPr>
          <w:rFonts w:ascii="TrebuchetMS" w:hAnsi="TrebuchetMS"/>
        </w:rPr>
        <w:t>pèlerin</w:t>
      </w:r>
      <w:proofErr w:type="spellEnd"/>
      <w:r>
        <w:rPr>
          <w:rFonts w:ascii="TrebuchetMS" w:hAnsi="TrebuchetMS"/>
        </w:rPr>
        <w:t xml:space="preserve"> ayant amorcé une transformation phasaire. </w:t>
      </w:r>
    </w:p>
    <w:p w14:paraId="7BD52CB8" w14:textId="4557E5C3" w:rsidR="00021145" w:rsidRDefault="00021145" w:rsidP="00F50A6B">
      <w:pPr>
        <w:rPr>
          <w:rFonts w:ascii="TrebuchetMS" w:hAnsi="TrebuchetMS"/>
        </w:rPr>
      </w:pPr>
      <w:r>
        <w:rPr>
          <w:rFonts w:ascii="TrebuchetMS" w:hAnsi="TrebuchetMS"/>
        </w:rPr>
        <w:t xml:space="preserve">Entonnement, c’est </w:t>
      </w:r>
      <w:proofErr w:type="gramStart"/>
      <w:r>
        <w:rPr>
          <w:rFonts w:ascii="TrebuchetMS" w:hAnsi="TrebuchetMS"/>
        </w:rPr>
        <w:t>lors des période</w:t>
      </w:r>
      <w:proofErr w:type="gramEnd"/>
      <w:r>
        <w:rPr>
          <w:rFonts w:ascii="TrebuchetMS" w:hAnsi="TrebuchetMS"/>
        </w:rPr>
        <w:t xml:space="preserve"> de rémission que les risques sont les plus forts (moins de surveillance). </w:t>
      </w:r>
    </w:p>
    <w:p w14:paraId="5AA23D97" w14:textId="40423CCE" w:rsidR="00AF03F1" w:rsidRDefault="00AF03F1" w:rsidP="00F50A6B">
      <w:pPr>
        <w:rPr>
          <w:rFonts w:ascii="TrebuchetMS" w:hAnsi="TrebuchetMS"/>
        </w:rPr>
      </w:pPr>
    </w:p>
    <w:p w14:paraId="48237A09" w14:textId="4F5E5983" w:rsidR="004B56E2" w:rsidRDefault="004B56E2" w:rsidP="00F50A6B">
      <w:pPr>
        <w:rPr>
          <w:rFonts w:ascii="TrebuchetMS" w:hAnsi="TrebuchetMS"/>
        </w:rPr>
      </w:pPr>
      <w:r>
        <w:rPr>
          <w:rFonts w:ascii="TrebuchetMS" w:hAnsi="TrebuchetMS"/>
        </w:rPr>
        <w:t>Différentes publications de la FAO :</w:t>
      </w:r>
    </w:p>
    <w:p w14:paraId="2F9A2970" w14:textId="1E91C350" w:rsidR="00AF03F1" w:rsidRDefault="00AF03F1" w:rsidP="00F50A6B">
      <w:hyperlink r:id="rId6" w:history="1">
        <w:r w:rsidRPr="00D84735">
          <w:rPr>
            <w:rStyle w:val="Lienhypertexte"/>
          </w:rPr>
          <w:t>https://www.fao.org/3/cb1007fr/CB1007FR.pdf</w:t>
        </w:r>
      </w:hyperlink>
      <w:r>
        <w:t xml:space="preserve"> </w:t>
      </w:r>
    </w:p>
    <w:p w14:paraId="1AB6CE92" w14:textId="475C8CED" w:rsidR="00AF03F1" w:rsidRDefault="00AF03F1" w:rsidP="00AF03F1">
      <w:r>
        <w:t>Projets</w:t>
      </w:r>
      <w:r w:rsidR="004B56E2">
        <w:t xml:space="preserve">/entités </w:t>
      </w:r>
      <w:r>
        <w:t>autour de la lutte préventive</w:t>
      </w:r>
      <w:r w:rsidR="004B56E2">
        <w:t xml:space="preserve"> menés par CLCPRO</w:t>
      </w:r>
      <w:r>
        <w:t> :</w:t>
      </w:r>
    </w:p>
    <w:p w14:paraId="0CB3707A" w14:textId="283D1769" w:rsidR="00AF03F1" w:rsidRDefault="00AF03F1" w:rsidP="00AF03F1">
      <w:pPr>
        <w:pStyle w:val="Paragraphedeliste"/>
        <w:numPr>
          <w:ilvl w:val="0"/>
          <w:numId w:val="1"/>
        </w:numPr>
      </w:pPr>
      <w:r>
        <w:t>EMPRES-RO (2006-2010</w:t>
      </w:r>
      <w:r w:rsidR="004B56E2">
        <w:t>) : mise en place des Unités Nationales de Lutte Antiacridienne (UNLA) financée nationalement</w:t>
      </w:r>
    </w:p>
    <w:p w14:paraId="3493F605" w14:textId="77777777" w:rsidR="004B56E2" w:rsidRDefault="00AF03F1" w:rsidP="00AF03F1">
      <w:pPr>
        <w:pStyle w:val="Paragraphedeliste"/>
        <w:numPr>
          <w:ilvl w:val="0"/>
          <w:numId w:val="1"/>
        </w:numPr>
      </w:pPr>
      <w:r>
        <w:t>EMPRES-RO II (2014-2019)</w:t>
      </w:r>
      <w:r w:rsidR="004B56E2">
        <w:t xml:space="preserve"> : </w:t>
      </w:r>
    </w:p>
    <w:p w14:paraId="15EABF95" w14:textId="61767DF9" w:rsidR="00AF03F1" w:rsidRDefault="004B56E2" w:rsidP="00AF03F1">
      <w:pPr>
        <w:pStyle w:val="Paragraphedeliste"/>
        <w:numPr>
          <w:ilvl w:val="0"/>
          <w:numId w:val="1"/>
        </w:numPr>
      </w:pPr>
      <w:r>
        <w:t>Fonds Régional de Gestion du Risque Acridien (2014) – 2.5 millions d’USD par État membre</w:t>
      </w:r>
    </w:p>
    <w:p w14:paraId="79A3EBD0" w14:textId="5099B4BB" w:rsidR="004B56E2" w:rsidRDefault="004B56E2" w:rsidP="00AF03F1">
      <w:pPr>
        <w:pStyle w:val="Paragraphedeliste"/>
        <w:numPr>
          <w:ilvl w:val="0"/>
          <w:numId w:val="1"/>
        </w:numPr>
      </w:pPr>
      <w:r>
        <w:rPr>
          <w:rFonts w:ascii="Open Sans" w:hAnsi="Open Sans" w:cs="Open Sans"/>
          <w:color w:val="003B43"/>
          <w:sz w:val="20"/>
          <w:szCs w:val="20"/>
          <w:shd w:val="clear" w:color="auto" w:fill="FFFFFF"/>
        </w:rPr>
        <w:t>Plan Régional de Gestion du Risque Acridien (PRGRA)</w:t>
      </w:r>
      <w:r>
        <w:rPr>
          <w:rFonts w:ascii="Open Sans" w:hAnsi="Open Sans" w:cs="Open Sans"/>
          <w:color w:val="003B43"/>
          <w:sz w:val="20"/>
          <w:szCs w:val="20"/>
          <w:shd w:val="clear" w:color="auto" w:fill="FFFFFF"/>
        </w:rPr>
        <w:t xml:space="preserve"> (2020 - ?) </w:t>
      </w:r>
    </w:p>
    <w:p w14:paraId="67F25F3D" w14:textId="5D21545B" w:rsidR="004B56E2" w:rsidRPr="00021145" w:rsidRDefault="004B56E2" w:rsidP="00AF03F1">
      <w:pPr>
        <w:pStyle w:val="Paragraphedeliste"/>
        <w:numPr>
          <w:ilvl w:val="0"/>
          <w:numId w:val="1"/>
        </w:numPr>
      </w:pPr>
      <w:proofErr w:type="gramStart"/>
      <w:r>
        <w:rPr>
          <w:rFonts w:ascii="Open Sans" w:hAnsi="Open Sans" w:cs="Open Sans"/>
          <w:color w:val="003B43"/>
          <w:sz w:val="20"/>
          <w:szCs w:val="20"/>
          <w:shd w:val="clear" w:color="auto" w:fill="FFFFFF"/>
        </w:rPr>
        <w:t>plans</w:t>
      </w:r>
      <w:proofErr w:type="gramEnd"/>
      <w:r>
        <w:rPr>
          <w:rFonts w:ascii="Open Sans" w:hAnsi="Open Sans" w:cs="Open Sans"/>
          <w:color w:val="003B43"/>
          <w:sz w:val="20"/>
          <w:szCs w:val="20"/>
          <w:shd w:val="clear" w:color="auto" w:fill="FFFFFF"/>
        </w:rPr>
        <w:t xml:space="preserve"> nationaux d’urgence acridienne (PNUA)</w:t>
      </w:r>
    </w:p>
    <w:p w14:paraId="62AE040B" w14:textId="23761F46" w:rsidR="00021145" w:rsidRPr="005578C7" w:rsidRDefault="00021145" w:rsidP="00AF03F1">
      <w:pPr>
        <w:pStyle w:val="Paragraphedeliste"/>
        <w:numPr>
          <w:ilvl w:val="0"/>
          <w:numId w:val="1"/>
        </w:numPr>
      </w:pPr>
      <w:proofErr w:type="gramStart"/>
      <w:r>
        <w:rPr>
          <w:rFonts w:ascii="Open Sans" w:hAnsi="Open Sans" w:cs="Open Sans"/>
          <w:color w:val="003B43"/>
          <w:sz w:val="20"/>
          <w:szCs w:val="20"/>
          <w:shd w:val="clear" w:color="auto" w:fill="FFFFFF"/>
        </w:rPr>
        <w:t>plan</w:t>
      </w:r>
      <w:proofErr w:type="gramEnd"/>
      <w:r>
        <w:rPr>
          <w:rFonts w:ascii="Open Sans" w:hAnsi="Open Sans" w:cs="Open Sans"/>
          <w:color w:val="003B43"/>
          <w:sz w:val="20"/>
          <w:szCs w:val="20"/>
          <w:shd w:val="clear" w:color="auto" w:fill="FFFFFF"/>
        </w:rPr>
        <w:t xml:space="preserve"> de prévention du risque acridien (PPRA) pour les 4 pays de la ligne de front (Mali, Mauritanie, Niger et Tchad)</w:t>
      </w:r>
    </w:p>
    <w:p w14:paraId="059A8345" w14:textId="3212E399" w:rsidR="005578C7" w:rsidRPr="004B56E2" w:rsidRDefault="005578C7" w:rsidP="00AF03F1">
      <w:pPr>
        <w:pStyle w:val="Paragraphedeliste"/>
        <w:numPr>
          <w:ilvl w:val="0"/>
          <w:numId w:val="1"/>
        </w:numPr>
      </w:pPr>
      <w:r>
        <w:t xml:space="preserve">SVDN Système de veille des dispositifs nationaux de lutte antiacridienne (état des lieux des ressources humaines et matérielles dispo pour les UNLA)  </w:t>
      </w:r>
    </w:p>
    <w:p w14:paraId="3275D610" w14:textId="0941BE80" w:rsidR="004B56E2" w:rsidRDefault="004B56E2" w:rsidP="004B56E2"/>
    <w:p w14:paraId="3A35E295" w14:textId="443E96E8" w:rsidR="004B56E2" w:rsidRDefault="004B56E2" w:rsidP="004B56E2">
      <w:r>
        <w:t xml:space="preserve">Les effets du changement climatique sur les dynamiques des populations de criquets sont encore inconnus. </w:t>
      </w:r>
    </w:p>
    <w:p w14:paraId="30301C6C" w14:textId="40BF226B" w:rsidR="00021145" w:rsidRDefault="00021145" w:rsidP="004B56E2"/>
    <w:p w14:paraId="7F982BC6" w14:textId="3ECEED65" w:rsidR="00021145" w:rsidRDefault="005578C7" w:rsidP="004B56E2">
      <w:r>
        <w:t>Enjeux alimentaires</w:t>
      </w:r>
      <w:r w:rsidR="00021145">
        <w:t xml:space="preserve"> + enjeux </w:t>
      </w:r>
      <w:proofErr w:type="spellStart"/>
      <w:r w:rsidR="00021145">
        <w:t>envionnementaux</w:t>
      </w:r>
      <w:proofErr w:type="spellEnd"/>
    </w:p>
    <w:p w14:paraId="048367A7" w14:textId="402C1ABB" w:rsidR="00021145" w:rsidRDefault="00021145" w:rsidP="004B56E2"/>
    <w:p w14:paraId="770A4016" w14:textId="77777777" w:rsidR="00021145" w:rsidRDefault="00021145" w:rsidP="004B56E2"/>
    <w:p w14:paraId="4B495CE8" w14:textId="77777777" w:rsidR="00F50A6B" w:rsidRDefault="00F50A6B" w:rsidP="00F50A6B"/>
    <w:p w14:paraId="5D255FED" w14:textId="36889B1C" w:rsidR="00610FCA" w:rsidRDefault="00610FCA" w:rsidP="00610FCA">
      <w:r>
        <w:t xml:space="preserve"> </w:t>
      </w:r>
    </w:p>
    <w:sectPr w:rsidR="00610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rebuchet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14A0"/>
    <w:multiLevelType w:val="hybridMultilevel"/>
    <w:tmpl w:val="DF044808"/>
    <w:lvl w:ilvl="0" w:tplc="98126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3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D9"/>
    <w:rsid w:val="00021145"/>
    <w:rsid w:val="003E3D44"/>
    <w:rsid w:val="003E7BD9"/>
    <w:rsid w:val="004B56E2"/>
    <w:rsid w:val="005578C7"/>
    <w:rsid w:val="00610FCA"/>
    <w:rsid w:val="00886503"/>
    <w:rsid w:val="00AF03F1"/>
    <w:rsid w:val="00BE3A9D"/>
    <w:rsid w:val="00DD54FF"/>
    <w:rsid w:val="00F50A6B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902E6"/>
  <w15:chartTrackingRefBased/>
  <w15:docId w15:val="{AA26F905-80C2-CD4F-823C-8A653FD6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03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0F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0A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AF03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03F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F0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o.org/3/cb1007fr/CB1007FR.pdf" TargetMode="External"/><Relationship Id="rId5" Type="http://schemas.openxmlformats.org/officeDocument/2006/relationships/hyperlink" Target="https://agritrop.cirad.fr/556112/1/document_5561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Broutin Lucas</dc:creator>
  <cp:keywords/>
  <dc:description/>
  <cp:lastModifiedBy>Broutin Lucas</cp:lastModifiedBy>
  <cp:revision>3</cp:revision>
  <dcterms:created xsi:type="dcterms:W3CDTF">2023-02-14T09:34:00Z</dcterms:created>
  <dcterms:modified xsi:type="dcterms:W3CDTF">2023-02-14T16:25:00Z</dcterms:modified>
</cp:coreProperties>
</file>