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7B8AD" w14:textId="77777777" w:rsidR="00B11CDB" w:rsidRPr="00B11CDB" w:rsidRDefault="00B11CDB" w:rsidP="00B11CDB">
      <w:pPr>
        <w:rPr>
          <w:b/>
          <w:bCs/>
        </w:rPr>
      </w:pPr>
      <w:r w:rsidRPr="00B11CDB">
        <w:rPr>
          <w:b/>
          <w:bCs/>
        </w:rPr>
        <w:t>Historical Development of Wealth Transfer Taxation in China</w:t>
      </w:r>
    </w:p>
    <w:p w14:paraId="6E547D57" w14:textId="77777777" w:rsidR="00B11CDB" w:rsidRPr="00B11CDB" w:rsidRDefault="00B11CDB" w:rsidP="00B11CDB">
      <w:pPr>
        <w:rPr>
          <w:b/>
          <w:bCs/>
        </w:rPr>
      </w:pPr>
      <w:r w:rsidRPr="00B11CDB">
        <w:rPr>
          <w:b/>
          <w:bCs/>
        </w:rPr>
        <w:t>1. Pre-Reform Era (Before 1949)</w:t>
      </w:r>
    </w:p>
    <w:p w14:paraId="3A597129" w14:textId="77777777" w:rsidR="00B11CDB" w:rsidRPr="00B11CDB" w:rsidRDefault="00B11CDB" w:rsidP="00B11CDB">
      <w:r w:rsidRPr="00B11CDB">
        <w:t xml:space="preserve">Before the establishment of the People's Republic of China in 1949, the </w:t>
      </w:r>
      <w:r w:rsidRPr="00B11CDB">
        <w:rPr>
          <w:b/>
          <w:bCs/>
        </w:rPr>
        <w:t>inheritance and wealth transfer system</w:t>
      </w:r>
      <w:r w:rsidRPr="00B11CDB">
        <w:t xml:space="preserve"> </w:t>
      </w:r>
      <w:proofErr w:type="gramStart"/>
      <w:r w:rsidRPr="00B11CDB">
        <w:t>was</w:t>
      </w:r>
      <w:proofErr w:type="gramEnd"/>
      <w:r w:rsidRPr="00B11CDB">
        <w:t xml:space="preserve"> not subject to formal taxation as we understand it today. Wealth and property were typically passed down within families according to traditional Confucian customs, and taxes were largely focused on land or income. The concept of an estate tax or inheritance tax was largely absent, as China followed traditional and feudal customs concerning wealth distribution.</w:t>
      </w:r>
    </w:p>
    <w:p w14:paraId="6065CB9B" w14:textId="77777777" w:rsidR="00841E68" w:rsidRPr="00841E68" w:rsidRDefault="00841E68" w:rsidP="00841E68">
      <w:pPr>
        <w:rPr>
          <w:b/>
          <w:bCs/>
        </w:rPr>
      </w:pPr>
      <w:r w:rsidRPr="00841E68">
        <w:rPr>
          <w:b/>
          <w:bCs/>
        </w:rPr>
        <w:t>2. Post-Reform (1949–1978)</w:t>
      </w:r>
    </w:p>
    <w:p w14:paraId="3C40D5B2" w14:textId="77777777" w:rsidR="00841E68" w:rsidRPr="00841E68" w:rsidRDefault="00841E68" w:rsidP="00841E68">
      <w:r w:rsidRPr="00841E68">
        <w:t xml:space="preserve">After the founding of the </w:t>
      </w:r>
      <w:r w:rsidRPr="00841E68">
        <w:rPr>
          <w:b/>
          <w:bCs/>
        </w:rPr>
        <w:t>People's Republic of China</w:t>
      </w:r>
      <w:r w:rsidRPr="00841E68">
        <w:t xml:space="preserve"> (PRC) in 1949, the Communist Party implemented large-scale land reforms, and the concept of private property was radically transformed. Wealth redistribution was a major focus of the Communist government.</w:t>
      </w:r>
    </w:p>
    <w:p w14:paraId="1E52E615" w14:textId="77777777" w:rsidR="00841E68" w:rsidRPr="00841E68" w:rsidRDefault="00841E68" w:rsidP="00841E68">
      <w:pPr>
        <w:numPr>
          <w:ilvl w:val="0"/>
          <w:numId w:val="1"/>
        </w:numPr>
      </w:pPr>
      <w:r w:rsidRPr="00841E68">
        <w:rPr>
          <w:b/>
          <w:bCs/>
        </w:rPr>
        <w:t>Land Reforms and Collective Ownership</w:t>
      </w:r>
      <w:r w:rsidRPr="00841E68">
        <w:t>: The state took control over most of the land and private property. Property ownership was largely collectivized, and the need for inheritance taxes was largely irrelevant in this system.</w:t>
      </w:r>
    </w:p>
    <w:p w14:paraId="6D5173FD" w14:textId="77777777" w:rsidR="00841E68" w:rsidRPr="00841E68" w:rsidRDefault="00841E68" w:rsidP="00841E68">
      <w:pPr>
        <w:numPr>
          <w:ilvl w:val="0"/>
          <w:numId w:val="1"/>
        </w:numPr>
      </w:pPr>
      <w:r w:rsidRPr="00841E68">
        <w:rPr>
          <w:b/>
          <w:bCs/>
        </w:rPr>
        <w:t>Absence of Inheritance or Estate Taxes</w:t>
      </w:r>
      <w:r w:rsidRPr="00841E68">
        <w:t>: During this period, there was no formal legal or tax system surrounding estate transfers because of the emphasis on collectivization, and the state was not interested in collecting taxes from private estates or inheritance.</w:t>
      </w:r>
    </w:p>
    <w:p w14:paraId="3998FBB9" w14:textId="77777777" w:rsidR="00CD7D75" w:rsidRPr="00CD7D75" w:rsidRDefault="00CD7D75" w:rsidP="00CD7D75">
      <w:pPr>
        <w:rPr>
          <w:b/>
          <w:bCs/>
        </w:rPr>
      </w:pPr>
      <w:r w:rsidRPr="00CD7D75">
        <w:rPr>
          <w:b/>
          <w:bCs/>
        </w:rPr>
        <w:t>3. Economic Reforms and Market Opening (1978–1990s)</w:t>
      </w:r>
    </w:p>
    <w:p w14:paraId="3CFDAF2A" w14:textId="77777777" w:rsidR="00CD7D75" w:rsidRPr="00CD7D75" w:rsidRDefault="00CD7D75" w:rsidP="00CD7D75">
      <w:r w:rsidRPr="00CD7D75">
        <w:t xml:space="preserve">The real shift towards the consideration of inheritance and estate taxes began after </w:t>
      </w:r>
      <w:r w:rsidRPr="00CD7D75">
        <w:rPr>
          <w:b/>
          <w:bCs/>
        </w:rPr>
        <w:t>1978</w:t>
      </w:r>
      <w:r w:rsidRPr="00CD7D75">
        <w:t xml:space="preserve">, when China started its economic reforms under </w:t>
      </w:r>
      <w:r w:rsidRPr="00CD7D75">
        <w:rPr>
          <w:b/>
          <w:bCs/>
        </w:rPr>
        <w:t>Deng Xiaoping</w:t>
      </w:r>
      <w:r w:rsidRPr="00CD7D75">
        <w:t>. As part of the reforms, China transitioned from a command economy to a more market-oriented one, with private ownership and individual wealth accumulation becoming more prevalent. However, the introduction of estate taxes was not an immediate priority.</w:t>
      </w:r>
    </w:p>
    <w:p w14:paraId="6B35B89E" w14:textId="77777777" w:rsidR="00CD7D75" w:rsidRPr="00CD7D75" w:rsidRDefault="00CD7D75" w:rsidP="00CD7D75">
      <w:pPr>
        <w:numPr>
          <w:ilvl w:val="0"/>
          <w:numId w:val="2"/>
        </w:numPr>
      </w:pPr>
      <w:r w:rsidRPr="00CD7D75">
        <w:rPr>
          <w:b/>
          <w:bCs/>
        </w:rPr>
        <w:t>Private Property Rights</w:t>
      </w:r>
      <w:r w:rsidRPr="00CD7D75">
        <w:t xml:space="preserve">: The </w:t>
      </w:r>
      <w:r w:rsidRPr="00CD7D75">
        <w:rPr>
          <w:b/>
          <w:bCs/>
        </w:rPr>
        <w:t>Constitution</w:t>
      </w:r>
      <w:r w:rsidRPr="00CD7D75">
        <w:t xml:space="preserve"> of China (amended in 1982) began recognizing the importance of private property rights. The </w:t>
      </w:r>
      <w:r w:rsidRPr="00CD7D75">
        <w:rPr>
          <w:b/>
          <w:bCs/>
        </w:rPr>
        <w:t>1990s</w:t>
      </w:r>
      <w:r w:rsidRPr="00CD7D75">
        <w:t xml:space="preserve"> saw the rise of individual wealth, especially in cities, and the growth of the </w:t>
      </w:r>
      <w:r w:rsidRPr="00CD7D75">
        <w:rPr>
          <w:b/>
          <w:bCs/>
        </w:rPr>
        <w:t>private sector</w:t>
      </w:r>
      <w:r w:rsidRPr="00CD7D75">
        <w:t>. However, even with increasing wealth, China did not introduce estate, inheritance, or wealth transfer taxes.</w:t>
      </w:r>
    </w:p>
    <w:p w14:paraId="4AEEFE44" w14:textId="77777777" w:rsidR="00222017" w:rsidRPr="00222017" w:rsidRDefault="00222017" w:rsidP="00222017">
      <w:pPr>
        <w:rPr>
          <w:b/>
          <w:bCs/>
        </w:rPr>
      </w:pPr>
      <w:r w:rsidRPr="00222017">
        <w:rPr>
          <w:b/>
          <w:bCs/>
        </w:rPr>
        <w:t>4. Inheritance Law of 1985</w:t>
      </w:r>
    </w:p>
    <w:p w14:paraId="4D9D65AC" w14:textId="77777777" w:rsidR="00222017" w:rsidRPr="00222017" w:rsidRDefault="00222017" w:rsidP="00222017">
      <w:r w:rsidRPr="00222017">
        <w:t xml:space="preserve">In </w:t>
      </w:r>
      <w:r w:rsidRPr="00222017">
        <w:rPr>
          <w:b/>
          <w:bCs/>
        </w:rPr>
        <w:t>1985</w:t>
      </w:r>
      <w:r w:rsidRPr="00222017">
        <w:t xml:space="preserve">, China introduced its </w:t>
      </w:r>
      <w:r w:rsidRPr="00222017">
        <w:rPr>
          <w:b/>
          <w:bCs/>
        </w:rPr>
        <w:t>Inheritance Law</w:t>
      </w:r>
      <w:r w:rsidRPr="00222017">
        <w:t xml:space="preserve"> (a major milestone), but the law was primarily focused on the distribution of property after death, rather than on taxing the transfer of wealth.</w:t>
      </w:r>
    </w:p>
    <w:p w14:paraId="2A5251B3" w14:textId="77777777" w:rsidR="00222017" w:rsidRPr="00222017" w:rsidRDefault="00222017" w:rsidP="00222017">
      <w:pPr>
        <w:numPr>
          <w:ilvl w:val="0"/>
          <w:numId w:val="3"/>
        </w:numPr>
      </w:pPr>
      <w:r w:rsidRPr="00222017">
        <w:rPr>
          <w:b/>
          <w:bCs/>
        </w:rPr>
        <w:t>Legal Framework for Inheritance</w:t>
      </w:r>
      <w:r w:rsidRPr="00222017">
        <w:t>: The law laid out rules for the inheritance of property, specifying how estates would be distributed among heirs in cases of intestacy (when there is no will).</w:t>
      </w:r>
    </w:p>
    <w:p w14:paraId="33150E2E" w14:textId="77777777" w:rsidR="00222017" w:rsidRPr="00222017" w:rsidRDefault="00222017" w:rsidP="00222017">
      <w:pPr>
        <w:numPr>
          <w:ilvl w:val="0"/>
          <w:numId w:val="3"/>
        </w:numPr>
      </w:pPr>
      <w:r w:rsidRPr="00222017">
        <w:rPr>
          <w:b/>
          <w:bCs/>
        </w:rPr>
        <w:t>No Estate Tax Introduced</w:t>
      </w:r>
      <w:r w:rsidRPr="00222017">
        <w:t xml:space="preserve">: Although the law provided a legal framework for inheritance, it did </w:t>
      </w:r>
      <w:r w:rsidRPr="00222017">
        <w:rPr>
          <w:b/>
          <w:bCs/>
        </w:rPr>
        <w:t>not include</w:t>
      </w:r>
      <w:r w:rsidRPr="00222017">
        <w:t xml:space="preserve"> provisions for an estate or inheritance tax, and there was no mention of taxes on wealth transfers.</w:t>
      </w:r>
    </w:p>
    <w:p w14:paraId="73DF2D3B" w14:textId="77777777" w:rsidR="001E0668" w:rsidRPr="001E0668" w:rsidRDefault="001E0668" w:rsidP="001E0668">
      <w:pPr>
        <w:rPr>
          <w:b/>
          <w:bCs/>
        </w:rPr>
      </w:pPr>
      <w:r w:rsidRPr="001E0668">
        <w:rPr>
          <w:b/>
          <w:bCs/>
        </w:rPr>
        <w:t>5. The 1990s and Early 2000s: No Estate or Inheritance Tax</w:t>
      </w:r>
    </w:p>
    <w:p w14:paraId="53D71A44" w14:textId="77777777" w:rsidR="001E0668" w:rsidRPr="001E0668" w:rsidRDefault="001E0668" w:rsidP="001E0668">
      <w:r w:rsidRPr="001E0668">
        <w:lastRenderedPageBreak/>
        <w:t xml:space="preserve">During the </w:t>
      </w:r>
      <w:r w:rsidRPr="001E0668">
        <w:rPr>
          <w:b/>
          <w:bCs/>
        </w:rPr>
        <w:t>1990s</w:t>
      </w:r>
      <w:r w:rsidRPr="001E0668">
        <w:t xml:space="preserve"> and early </w:t>
      </w:r>
      <w:r w:rsidRPr="001E0668">
        <w:rPr>
          <w:b/>
          <w:bCs/>
        </w:rPr>
        <w:t>2000s</w:t>
      </w:r>
      <w:r w:rsidRPr="001E0668">
        <w:t>, China's focus was on rapid economic growth, modernization, and legal reforms. A significant number of private businesses were created, leading to increasing wealth accumulation in urban areas, but estate or inheritance taxes were still not a focus of the government.</w:t>
      </w:r>
    </w:p>
    <w:p w14:paraId="7E178E85" w14:textId="77777777" w:rsidR="001E0668" w:rsidRPr="001E0668" w:rsidRDefault="001E0668" w:rsidP="001E0668">
      <w:pPr>
        <w:numPr>
          <w:ilvl w:val="0"/>
          <w:numId w:val="4"/>
        </w:numPr>
      </w:pPr>
      <w:r w:rsidRPr="001E0668">
        <w:rPr>
          <w:b/>
          <w:bCs/>
        </w:rPr>
        <w:t>Lack of Estate Tax</w:t>
      </w:r>
      <w:r w:rsidRPr="001E0668">
        <w:t xml:space="preserve">: Despite growing wealth, China did not introduce estate taxes or inheritance taxes in this period. </w:t>
      </w:r>
      <w:proofErr w:type="gramStart"/>
      <w:r w:rsidRPr="001E0668">
        <w:t>Many of the</w:t>
      </w:r>
      <w:proofErr w:type="gramEnd"/>
      <w:r w:rsidRPr="001E0668">
        <w:t xml:space="preserve"> wealthier individuals began transferring assets to heirs, but there were no special taxes applied to these transfers.</w:t>
      </w:r>
    </w:p>
    <w:p w14:paraId="2CF62B85" w14:textId="77777777" w:rsidR="009E5FEF" w:rsidRPr="009E5FEF" w:rsidRDefault="009E5FEF" w:rsidP="009E5FEF">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E5FEF">
        <w:rPr>
          <w:rFonts w:ascii="Times New Roman" w:eastAsia="Times New Roman" w:hAnsi="Times New Roman" w:cs="Times New Roman"/>
          <w:b/>
          <w:bCs/>
          <w:kern w:val="0"/>
          <w:sz w:val="27"/>
          <w:szCs w:val="27"/>
          <w14:ligatures w14:val="none"/>
        </w:rPr>
        <w:t>Conclusion</w:t>
      </w:r>
    </w:p>
    <w:p w14:paraId="7AF05997" w14:textId="77777777" w:rsidR="009E5FEF" w:rsidRPr="009E5FEF" w:rsidRDefault="009E5FEF" w:rsidP="009E5FEF">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5FEF">
        <w:rPr>
          <w:rFonts w:ascii="Times New Roman" w:eastAsia="Times New Roman" w:hAnsi="Times New Roman" w:cs="Times New Roman"/>
          <w:kern w:val="0"/>
          <w:sz w:val="24"/>
          <w:szCs w:val="24"/>
          <w14:ligatures w14:val="none"/>
        </w:rPr>
        <w:t xml:space="preserve">China has not yet implemented estate, inheritance, or wealth transfer taxes, even though such taxes have been widely debated in recent years. The </w:t>
      </w:r>
      <w:r w:rsidRPr="009E5FEF">
        <w:rPr>
          <w:rFonts w:ascii="Times New Roman" w:eastAsia="Times New Roman" w:hAnsi="Times New Roman" w:cs="Times New Roman"/>
          <w:b/>
          <w:bCs/>
          <w:kern w:val="0"/>
          <w:sz w:val="24"/>
          <w:szCs w:val="24"/>
          <w14:ligatures w14:val="none"/>
        </w:rPr>
        <w:t>Inheritance Law</w:t>
      </w:r>
      <w:r w:rsidRPr="009E5FEF">
        <w:rPr>
          <w:rFonts w:ascii="Times New Roman" w:eastAsia="Times New Roman" w:hAnsi="Times New Roman" w:cs="Times New Roman"/>
          <w:kern w:val="0"/>
          <w:sz w:val="24"/>
          <w:szCs w:val="24"/>
          <w14:ligatures w14:val="none"/>
        </w:rPr>
        <w:t xml:space="preserve"> (1985) established a framework for how estates should be distributed after death, but it did not address taxation. Although there have been increasing calls for wealth taxes, especially in light of growing wealth inequality, the Chinese government has not introduced any such taxes at a national level as of now.</w:t>
      </w:r>
    </w:p>
    <w:p w14:paraId="52362950" w14:textId="77777777" w:rsidR="00FF4B88" w:rsidRDefault="00FF4B88"/>
    <w:sectPr w:rsidR="00FF4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91381"/>
    <w:multiLevelType w:val="multilevel"/>
    <w:tmpl w:val="C538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AB0840"/>
    <w:multiLevelType w:val="multilevel"/>
    <w:tmpl w:val="5E96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9E187A"/>
    <w:multiLevelType w:val="multilevel"/>
    <w:tmpl w:val="8C4A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C46C2A"/>
    <w:multiLevelType w:val="multilevel"/>
    <w:tmpl w:val="9CBC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3020920">
    <w:abstractNumId w:val="0"/>
  </w:num>
  <w:num w:numId="2" w16cid:durableId="1897010199">
    <w:abstractNumId w:val="1"/>
  </w:num>
  <w:num w:numId="3" w16cid:durableId="1750422452">
    <w:abstractNumId w:val="2"/>
  </w:num>
  <w:num w:numId="4" w16cid:durableId="12703535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CDB"/>
    <w:rsid w:val="001E0668"/>
    <w:rsid w:val="00222017"/>
    <w:rsid w:val="003B06BD"/>
    <w:rsid w:val="00841E68"/>
    <w:rsid w:val="009E5FEF"/>
    <w:rsid w:val="00A94B39"/>
    <w:rsid w:val="00B11CDB"/>
    <w:rsid w:val="00CD7D75"/>
    <w:rsid w:val="00FF4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8789A"/>
  <w15:chartTrackingRefBased/>
  <w15:docId w15:val="{23885039-F129-4CB0-BF51-1C15EBF61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C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1C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1C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1C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1C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1C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1C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1C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1C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C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1C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1C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1C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1C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1C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1C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1C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1CDB"/>
    <w:rPr>
      <w:rFonts w:eastAsiaTheme="majorEastAsia" w:cstheme="majorBidi"/>
      <w:color w:val="272727" w:themeColor="text1" w:themeTint="D8"/>
    </w:rPr>
  </w:style>
  <w:style w:type="paragraph" w:styleId="Title">
    <w:name w:val="Title"/>
    <w:basedOn w:val="Normal"/>
    <w:next w:val="Normal"/>
    <w:link w:val="TitleChar"/>
    <w:uiPriority w:val="10"/>
    <w:qFormat/>
    <w:rsid w:val="00B11C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C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1C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1C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1CDB"/>
    <w:pPr>
      <w:spacing w:before="160"/>
      <w:jc w:val="center"/>
    </w:pPr>
    <w:rPr>
      <w:i/>
      <w:iCs/>
      <w:color w:val="404040" w:themeColor="text1" w:themeTint="BF"/>
    </w:rPr>
  </w:style>
  <w:style w:type="character" w:customStyle="1" w:styleId="QuoteChar">
    <w:name w:val="Quote Char"/>
    <w:basedOn w:val="DefaultParagraphFont"/>
    <w:link w:val="Quote"/>
    <w:uiPriority w:val="29"/>
    <w:rsid w:val="00B11CDB"/>
    <w:rPr>
      <w:i/>
      <w:iCs/>
      <w:color w:val="404040" w:themeColor="text1" w:themeTint="BF"/>
    </w:rPr>
  </w:style>
  <w:style w:type="paragraph" w:styleId="ListParagraph">
    <w:name w:val="List Paragraph"/>
    <w:basedOn w:val="Normal"/>
    <w:uiPriority w:val="34"/>
    <w:qFormat/>
    <w:rsid w:val="00B11CDB"/>
    <w:pPr>
      <w:ind w:left="720"/>
      <w:contextualSpacing/>
    </w:pPr>
  </w:style>
  <w:style w:type="character" w:styleId="IntenseEmphasis">
    <w:name w:val="Intense Emphasis"/>
    <w:basedOn w:val="DefaultParagraphFont"/>
    <w:uiPriority w:val="21"/>
    <w:qFormat/>
    <w:rsid w:val="00B11CDB"/>
    <w:rPr>
      <w:i/>
      <w:iCs/>
      <w:color w:val="0F4761" w:themeColor="accent1" w:themeShade="BF"/>
    </w:rPr>
  </w:style>
  <w:style w:type="paragraph" w:styleId="IntenseQuote">
    <w:name w:val="Intense Quote"/>
    <w:basedOn w:val="Normal"/>
    <w:next w:val="Normal"/>
    <w:link w:val="IntenseQuoteChar"/>
    <w:uiPriority w:val="30"/>
    <w:qFormat/>
    <w:rsid w:val="00B11C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1CDB"/>
    <w:rPr>
      <w:i/>
      <w:iCs/>
      <w:color w:val="0F4761" w:themeColor="accent1" w:themeShade="BF"/>
    </w:rPr>
  </w:style>
  <w:style w:type="character" w:styleId="IntenseReference">
    <w:name w:val="Intense Reference"/>
    <w:basedOn w:val="DefaultParagraphFont"/>
    <w:uiPriority w:val="32"/>
    <w:qFormat/>
    <w:rsid w:val="00B11CDB"/>
    <w:rPr>
      <w:b/>
      <w:bCs/>
      <w:smallCaps/>
      <w:color w:val="0F4761" w:themeColor="accent1" w:themeShade="BF"/>
      <w:spacing w:val="5"/>
    </w:rPr>
  </w:style>
  <w:style w:type="character" w:styleId="Strong">
    <w:name w:val="Strong"/>
    <w:basedOn w:val="DefaultParagraphFont"/>
    <w:uiPriority w:val="22"/>
    <w:qFormat/>
    <w:rsid w:val="009E5FEF"/>
    <w:rPr>
      <w:b/>
      <w:bCs/>
    </w:rPr>
  </w:style>
  <w:style w:type="paragraph" w:styleId="NormalWeb">
    <w:name w:val="Normal (Web)"/>
    <w:basedOn w:val="Normal"/>
    <w:uiPriority w:val="99"/>
    <w:semiHidden/>
    <w:unhideWhenUsed/>
    <w:rsid w:val="009E5F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423680">
      <w:bodyDiv w:val="1"/>
      <w:marLeft w:val="0"/>
      <w:marRight w:val="0"/>
      <w:marTop w:val="0"/>
      <w:marBottom w:val="0"/>
      <w:divBdr>
        <w:top w:val="none" w:sz="0" w:space="0" w:color="auto"/>
        <w:left w:val="none" w:sz="0" w:space="0" w:color="auto"/>
        <w:bottom w:val="none" w:sz="0" w:space="0" w:color="auto"/>
        <w:right w:val="none" w:sz="0" w:space="0" w:color="auto"/>
      </w:divBdr>
    </w:div>
    <w:div w:id="265771594">
      <w:bodyDiv w:val="1"/>
      <w:marLeft w:val="0"/>
      <w:marRight w:val="0"/>
      <w:marTop w:val="0"/>
      <w:marBottom w:val="0"/>
      <w:divBdr>
        <w:top w:val="none" w:sz="0" w:space="0" w:color="auto"/>
        <w:left w:val="none" w:sz="0" w:space="0" w:color="auto"/>
        <w:bottom w:val="none" w:sz="0" w:space="0" w:color="auto"/>
        <w:right w:val="none" w:sz="0" w:space="0" w:color="auto"/>
      </w:divBdr>
    </w:div>
    <w:div w:id="272828308">
      <w:bodyDiv w:val="1"/>
      <w:marLeft w:val="0"/>
      <w:marRight w:val="0"/>
      <w:marTop w:val="0"/>
      <w:marBottom w:val="0"/>
      <w:divBdr>
        <w:top w:val="none" w:sz="0" w:space="0" w:color="auto"/>
        <w:left w:val="none" w:sz="0" w:space="0" w:color="auto"/>
        <w:bottom w:val="none" w:sz="0" w:space="0" w:color="auto"/>
        <w:right w:val="none" w:sz="0" w:space="0" w:color="auto"/>
      </w:divBdr>
    </w:div>
    <w:div w:id="314990149">
      <w:bodyDiv w:val="1"/>
      <w:marLeft w:val="0"/>
      <w:marRight w:val="0"/>
      <w:marTop w:val="0"/>
      <w:marBottom w:val="0"/>
      <w:divBdr>
        <w:top w:val="none" w:sz="0" w:space="0" w:color="auto"/>
        <w:left w:val="none" w:sz="0" w:space="0" w:color="auto"/>
        <w:bottom w:val="none" w:sz="0" w:space="0" w:color="auto"/>
        <w:right w:val="none" w:sz="0" w:space="0" w:color="auto"/>
      </w:divBdr>
    </w:div>
    <w:div w:id="761032976">
      <w:bodyDiv w:val="1"/>
      <w:marLeft w:val="0"/>
      <w:marRight w:val="0"/>
      <w:marTop w:val="0"/>
      <w:marBottom w:val="0"/>
      <w:divBdr>
        <w:top w:val="none" w:sz="0" w:space="0" w:color="auto"/>
        <w:left w:val="none" w:sz="0" w:space="0" w:color="auto"/>
        <w:bottom w:val="none" w:sz="0" w:space="0" w:color="auto"/>
        <w:right w:val="none" w:sz="0" w:space="0" w:color="auto"/>
      </w:divBdr>
    </w:div>
    <w:div w:id="821582238">
      <w:bodyDiv w:val="1"/>
      <w:marLeft w:val="0"/>
      <w:marRight w:val="0"/>
      <w:marTop w:val="0"/>
      <w:marBottom w:val="0"/>
      <w:divBdr>
        <w:top w:val="none" w:sz="0" w:space="0" w:color="auto"/>
        <w:left w:val="none" w:sz="0" w:space="0" w:color="auto"/>
        <w:bottom w:val="none" w:sz="0" w:space="0" w:color="auto"/>
        <w:right w:val="none" w:sz="0" w:space="0" w:color="auto"/>
      </w:divBdr>
    </w:div>
    <w:div w:id="1502357536">
      <w:bodyDiv w:val="1"/>
      <w:marLeft w:val="0"/>
      <w:marRight w:val="0"/>
      <w:marTop w:val="0"/>
      <w:marBottom w:val="0"/>
      <w:divBdr>
        <w:top w:val="none" w:sz="0" w:space="0" w:color="auto"/>
        <w:left w:val="none" w:sz="0" w:space="0" w:color="auto"/>
        <w:bottom w:val="none" w:sz="0" w:space="0" w:color="auto"/>
        <w:right w:val="none" w:sz="0" w:space="0" w:color="auto"/>
      </w:divBdr>
    </w:div>
    <w:div w:id="1505318362">
      <w:bodyDiv w:val="1"/>
      <w:marLeft w:val="0"/>
      <w:marRight w:val="0"/>
      <w:marTop w:val="0"/>
      <w:marBottom w:val="0"/>
      <w:divBdr>
        <w:top w:val="none" w:sz="0" w:space="0" w:color="auto"/>
        <w:left w:val="none" w:sz="0" w:space="0" w:color="auto"/>
        <w:bottom w:val="none" w:sz="0" w:space="0" w:color="auto"/>
        <w:right w:val="none" w:sz="0" w:space="0" w:color="auto"/>
      </w:divBdr>
    </w:div>
    <w:div w:id="1718165658">
      <w:bodyDiv w:val="1"/>
      <w:marLeft w:val="0"/>
      <w:marRight w:val="0"/>
      <w:marTop w:val="0"/>
      <w:marBottom w:val="0"/>
      <w:divBdr>
        <w:top w:val="none" w:sz="0" w:space="0" w:color="auto"/>
        <w:left w:val="none" w:sz="0" w:space="0" w:color="auto"/>
        <w:bottom w:val="none" w:sz="0" w:space="0" w:color="auto"/>
        <w:right w:val="none" w:sz="0" w:space="0" w:color="auto"/>
      </w:divBdr>
    </w:div>
    <w:div w:id="1759710455">
      <w:bodyDiv w:val="1"/>
      <w:marLeft w:val="0"/>
      <w:marRight w:val="0"/>
      <w:marTop w:val="0"/>
      <w:marBottom w:val="0"/>
      <w:divBdr>
        <w:top w:val="none" w:sz="0" w:space="0" w:color="auto"/>
        <w:left w:val="none" w:sz="0" w:space="0" w:color="auto"/>
        <w:bottom w:val="none" w:sz="0" w:space="0" w:color="auto"/>
        <w:right w:val="none" w:sz="0" w:space="0" w:color="auto"/>
      </w:divBdr>
    </w:div>
    <w:div w:id="200372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575</Words>
  <Characters>3284</Characters>
  <Application>Microsoft Office Word</Application>
  <DocSecurity>0</DocSecurity>
  <Lines>27</Lines>
  <Paragraphs>7</Paragraphs>
  <ScaleCrop>false</ScaleCrop>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GHULAM SHABIR</dc:creator>
  <cp:keywords/>
  <dc:description/>
  <cp:lastModifiedBy>GHULAM SHABIR</cp:lastModifiedBy>
  <cp:revision>6</cp:revision>
  <dcterms:created xsi:type="dcterms:W3CDTF">2024-12-05T21:03:00Z</dcterms:created>
  <dcterms:modified xsi:type="dcterms:W3CDTF">2024-12-05T21:06:00Z</dcterms:modified>
</cp:coreProperties>
</file>