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FF403" w14:textId="7F0642FC" w:rsidR="00FF4B88" w:rsidRDefault="003842C3">
      <w:pPr>
        <w:rPr>
          <w:b/>
          <w:bCs/>
          <w:sz w:val="24"/>
          <w:szCs w:val="24"/>
        </w:rPr>
      </w:pPr>
      <w:r w:rsidRPr="003842C3">
        <w:rPr>
          <w:b/>
          <w:bCs/>
          <w:sz w:val="24"/>
          <w:szCs w:val="24"/>
        </w:rPr>
        <w:t>Indonesia Inheritance Tax</w:t>
      </w:r>
    </w:p>
    <w:p w14:paraId="557E8E25" w14:textId="77777777" w:rsidR="005C7351" w:rsidRPr="005C7351" w:rsidRDefault="005C7351" w:rsidP="005C7351">
      <w:pPr>
        <w:rPr>
          <w:sz w:val="24"/>
          <w:szCs w:val="24"/>
        </w:rPr>
      </w:pPr>
      <w:r w:rsidRPr="005C7351">
        <w:rPr>
          <w:sz w:val="24"/>
          <w:szCs w:val="24"/>
        </w:rPr>
        <w:t xml:space="preserve">Indonesia first introduced estate, inheritance, and gift taxes in </w:t>
      </w:r>
      <w:r w:rsidRPr="005C7351">
        <w:rPr>
          <w:b/>
          <w:bCs/>
          <w:sz w:val="24"/>
          <w:szCs w:val="24"/>
        </w:rPr>
        <w:t>1985</w:t>
      </w:r>
      <w:r w:rsidRPr="005C7351">
        <w:rPr>
          <w:sz w:val="24"/>
          <w:szCs w:val="24"/>
        </w:rPr>
        <w:t xml:space="preserve">, with the enactment of </w:t>
      </w:r>
      <w:r w:rsidRPr="005C7351">
        <w:rPr>
          <w:b/>
          <w:bCs/>
          <w:sz w:val="24"/>
          <w:szCs w:val="24"/>
        </w:rPr>
        <w:t>Law No. 7/1983</w:t>
      </w:r>
      <w:r w:rsidRPr="005C7351">
        <w:rPr>
          <w:sz w:val="24"/>
          <w:szCs w:val="24"/>
        </w:rPr>
        <w:t xml:space="preserve"> on </w:t>
      </w:r>
      <w:r w:rsidRPr="005C7351">
        <w:rPr>
          <w:b/>
          <w:bCs/>
          <w:sz w:val="24"/>
          <w:szCs w:val="24"/>
        </w:rPr>
        <w:t>Income Tax</w:t>
      </w:r>
      <w:r w:rsidRPr="005C7351">
        <w:rPr>
          <w:sz w:val="24"/>
          <w:szCs w:val="24"/>
        </w:rPr>
        <w:t xml:space="preserve"> which included provisions for these taxes. This law was amended several times, with a notable update in </w:t>
      </w:r>
      <w:r w:rsidRPr="005C7351">
        <w:rPr>
          <w:b/>
          <w:bCs/>
          <w:sz w:val="24"/>
          <w:szCs w:val="24"/>
        </w:rPr>
        <w:t>1994</w:t>
      </w:r>
      <w:r w:rsidRPr="005C7351">
        <w:rPr>
          <w:sz w:val="24"/>
          <w:szCs w:val="24"/>
        </w:rPr>
        <w:t>.</w:t>
      </w:r>
    </w:p>
    <w:p w14:paraId="7320094B" w14:textId="77777777" w:rsidR="005C7351" w:rsidRPr="005C7351" w:rsidRDefault="005C7351" w:rsidP="005C7351">
      <w:pPr>
        <w:rPr>
          <w:sz w:val="24"/>
          <w:szCs w:val="24"/>
        </w:rPr>
      </w:pPr>
      <w:r w:rsidRPr="005C7351">
        <w:rPr>
          <w:sz w:val="24"/>
          <w:szCs w:val="24"/>
        </w:rPr>
        <w:t xml:space="preserve">However, the specific taxation of </w:t>
      </w:r>
      <w:r w:rsidRPr="005C7351">
        <w:rPr>
          <w:b/>
          <w:bCs/>
          <w:sz w:val="24"/>
          <w:szCs w:val="24"/>
        </w:rPr>
        <w:t>estate, inheritance, and gifts</w:t>
      </w:r>
      <w:r w:rsidRPr="005C7351">
        <w:rPr>
          <w:sz w:val="24"/>
          <w:szCs w:val="24"/>
        </w:rPr>
        <w:t xml:space="preserve"> was governed by </w:t>
      </w:r>
      <w:r w:rsidRPr="005C7351">
        <w:rPr>
          <w:b/>
          <w:bCs/>
          <w:sz w:val="24"/>
          <w:szCs w:val="24"/>
        </w:rPr>
        <w:t>Law No. 20/1997</w:t>
      </w:r>
      <w:r w:rsidRPr="005C7351">
        <w:rPr>
          <w:sz w:val="24"/>
          <w:szCs w:val="24"/>
        </w:rPr>
        <w:t xml:space="preserve"> on </w:t>
      </w:r>
      <w:r w:rsidRPr="005C7351">
        <w:rPr>
          <w:b/>
          <w:bCs/>
          <w:sz w:val="24"/>
          <w:szCs w:val="24"/>
        </w:rPr>
        <w:t>Estate Duty and Gift Tax</w:t>
      </w:r>
      <w:r w:rsidRPr="005C7351">
        <w:rPr>
          <w:sz w:val="24"/>
          <w:szCs w:val="24"/>
        </w:rPr>
        <w:t xml:space="preserve">. This law laid the foundation for the taxation of assets passed through inheritance or as gifts. It was further reformed in </w:t>
      </w:r>
      <w:r w:rsidRPr="005C7351">
        <w:rPr>
          <w:b/>
          <w:bCs/>
          <w:sz w:val="24"/>
          <w:szCs w:val="24"/>
        </w:rPr>
        <w:t>2000</w:t>
      </w:r>
      <w:r w:rsidRPr="005C7351">
        <w:rPr>
          <w:sz w:val="24"/>
          <w:szCs w:val="24"/>
        </w:rPr>
        <w:t xml:space="preserve"> with the implementation of a </w:t>
      </w:r>
      <w:r w:rsidRPr="005C7351">
        <w:rPr>
          <w:b/>
          <w:bCs/>
          <w:sz w:val="24"/>
          <w:szCs w:val="24"/>
        </w:rPr>
        <w:t>new tax regulation</w:t>
      </w:r>
      <w:r w:rsidRPr="005C7351">
        <w:rPr>
          <w:sz w:val="24"/>
          <w:szCs w:val="24"/>
        </w:rPr>
        <w:t xml:space="preserve"> under </w:t>
      </w:r>
      <w:r w:rsidRPr="005C7351">
        <w:rPr>
          <w:b/>
          <w:bCs/>
          <w:sz w:val="24"/>
          <w:szCs w:val="24"/>
        </w:rPr>
        <w:t>Law No. 36/2008</w:t>
      </w:r>
      <w:r w:rsidRPr="005C7351">
        <w:rPr>
          <w:sz w:val="24"/>
          <w:szCs w:val="24"/>
        </w:rPr>
        <w:t xml:space="preserve"> concerning Income Tax and the introduction of </w:t>
      </w:r>
      <w:r w:rsidRPr="005C7351">
        <w:rPr>
          <w:b/>
          <w:bCs/>
          <w:sz w:val="24"/>
          <w:szCs w:val="24"/>
        </w:rPr>
        <w:t>Law No. 28/2009</w:t>
      </w:r>
      <w:r w:rsidRPr="005C7351">
        <w:rPr>
          <w:sz w:val="24"/>
          <w:szCs w:val="24"/>
        </w:rPr>
        <w:t xml:space="preserve"> which adjusted various tax matters, including inheritance and gifts.</w:t>
      </w:r>
    </w:p>
    <w:p w14:paraId="2F1169A6" w14:textId="77777777" w:rsidR="005C7351" w:rsidRPr="005C7351" w:rsidRDefault="005C7351" w:rsidP="005C7351">
      <w:pPr>
        <w:rPr>
          <w:sz w:val="24"/>
          <w:szCs w:val="24"/>
        </w:rPr>
      </w:pPr>
      <w:r w:rsidRPr="005C7351">
        <w:rPr>
          <w:sz w:val="24"/>
          <w:szCs w:val="24"/>
        </w:rPr>
        <w:t>Key points:</w:t>
      </w:r>
    </w:p>
    <w:p w14:paraId="4A0ED241" w14:textId="77777777" w:rsidR="005C7351" w:rsidRPr="005C7351" w:rsidRDefault="005C7351" w:rsidP="005C7351">
      <w:pPr>
        <w:numPr>
          <w:ilvl w:val="0"/>
          <w:numId w:val="1"/>
        </w:numPr>
        <w:rPr>
          <w:sz w:val="24"/>
          <w:szCs w:val="24"/>
        </w:rPr>
      </w:pPr>
      <w:r w:rsidRPr="005C7351">
        <w:rPr>
          <w:b/>
          <w:bCs/>
          <w:sz w:val="24"/>
          <w:szCs w:val="24"/>
        </w:rPr>
        <w:t>1985</w:t>
      </w:r>
      <w:r w:rsidRPr="005C7351">
        <w:rPr>
          <w:sz w:val="24"/>
          <w:szCs w:val="24"/>
        </w:rPr>
        <w:t>: Introduction of taxes on inheritance and gifts.</w:t>
      </w:r>
    </w:p>
    <w:p w14:paraId="35A4F65C" w14:textId="77777777" w:rsidR="005C7351" w:rsidRPr="005C7351" w:rsidRDefault="005C7351" w:rsidP="005C7351">
      <w:pPr>
        <w:numPr>
          <w:ilvl w:val="0"/>
          <w:numId w:val="1"/>
        </w:numPr>
        <w:rPr>
          <w:sz w:val="24"/>
          <w:szCs w:val="24"/>
        </w:rPr>
      </w:pPr>
      <w:r w:rsidRPr="005C7351">
        <w:rPr>
          <w:b/>
          <w:bCs/>
          <w:sz w:val="24"/>
          <w:szCs w:val="24"/>
        </w:rPr>
        <w:t>1994</w:t>
      </w:r>
      <w:r w:rsidRPr="005C7351">
        <w:rPr>
          <w:sz w:val="24"/>
          <w:szCs w:val="24"/>
        </w:rPr>
        <w:t>: Updates to the tax law.</w:t>
      </w:r>
    </w:p>
    <w:p w14:paraId="148BECBC" w14:textId="77777777" w:rsidR="005C7351" w:rsidRPr="005C7351" w:rsidRDefault="005C7351" w:rsidP="005C7351">
      <w:pPr>
        <w:numPr>
          <w:ilvl w:val="0"/>
          <w:numId w:val="1"/>
        </w:numPr>
        <w:rPr>
          <w:sz w:val="24"/>
          <w:szCs w:val="24"/>
        </w:rPr>
      </w:pPr>
      <w:r w:rsidRPr="005C7351">
        <w:rPr>
          <w:b/>
          <w:bCs/>
          <w:sz w:val="24"/>
          <w:szCs w:val="24"/>
        </w:rPr>
        <w:t>1997</w:t>
      </w:r>
      <w:r w:rsidRPr="005C7351">
        <w:rPr>
          <w:sz w:val="24"/>
          <w:szCs w:val="24"/>
        </w:rPr>
        <w:t>: Formal establishment of estate and gift taxes.</w:t>
      </w:r>
    </w:p>
    <w:p w14:paraId="57059C72" w14:textId="77777777" w:rsidR="005C7351" w:rsidRPr="005C7351" w:rsidRDefault="005C7351" w:rsidP="005C7351">
      <w:pPr>
        <w:numPr>
          <w:ilvl w:val="0"/>
          <w:numId w:val="1"/>
        </w:numPr>
        <w:rPr>
          <w:sz w:val="24"/>
          <w:szCs w:val="24"/>
        </w:rPr>
      </w:pPr>
      <w:r w:rsidRPr="005C7351">
        <w:rPr>
          <w:b/>
          <w:bCs/>
          <w:sz w:val="24"/>
          <w:szCs w:val="24"/>
        </w:rPr>
        <w:t>2008-2009</w:t>
      </w:r>
      <w:r w:rsidRPr="005C7351">
        <w:rPr>
          <w:sz w:val="24"/>
          <w:szCs w:val="24"/>
        </w:rPr>
        <w:t>: Reform and adjustments to inheritance and gift taxation.</w:t>
      </w:r>
    </w:p>
    <w:p w14:paraId="65A674E8" w14:textId="77777777" w:rsidR="00C555DB" w:rsidRPr="00C555DB" w:rsidRDefault="00C555DB" w:rsidP="00C555DB">
      <w:pPr>
        <w:rPr>
          <w:sz w:val="24"/>
          <w:szCs w:val="24"/>
        </w:rPr>
      </w:pPr>
      <w:r w:rsidRPr="00C555DB">
        <w:rPr>
          <w:sz w:val="24"/>
          <w:szCs w:val="24"/>
        </w:rPr>
        <w:t>Yes, the concept of estate, inheritance, and gift taxes existed in Indonesia even before the 1980s, but the legal framework was more complex and scattered under Dutch colonial rule.</w:t>
      </w:r>
    </w:p>
    <w:p w14:paraId="3DDFD00F" w14:textId="77777777" w:rsidR="00C555DB" w:rsidRPr="00C555DB" w:rsidRDefault="00C555DB" w:rsidP="00C555DB">
      <w:pPr>
        <w:rPr>
          <w:b/>
          <w:bCs/>
          <w:sz w:val="24"/>
          <w:szCs w:val="24"/>
        </w:rPr>
      </w:pPr>
      <w:r w:rsidRPr="00C555DB">
        <w:rPr>
          <w:b/>
          <w:bCs/>
          <w:sz w:val="24"/>
          <w:szCs w:val="24"/>
        </w:rPr>
        <w:t>Dutch Colonial Era:</w:t>
      </w:r>
    </w:p>
    <w:p w14:paraId="4E3D98E1" w14:textId="77777777" w:rsidR="00C555DB" w:rsidRPr="00C555DB" w:rsidRDefault="00C555DB" w:rsidP="00C555DB">
      <w:pPr>
        <w:numPr>
          <w:ilvl w:val="0"/>
          <w:numId w:val="2"/>
        </w:numPr>
        <w:rPr>
          <w:sz w:val="24"/>
          <w:szCs w:val="24"/>
        </w:rPr>
      </w:pPr>
      <w:r w:rsidRPr="00C555DB">
        <w:rPr>
          <w:b/>
          <w:bCs/>
          <w:sz w:val="24"/>
          <w:szCs w:val="24"/>
        </w:rPr>
        <w:t>Inheritance Tax</w:t>
      </w:r>
      <w:r w:rsidRPr="00C555DB">
        <w:rPr>
          <w:sz w:val="24"/>
          <w:szCs w:val="24"/>
        </w:rPr>
        <w:t xml:space="preserve">: During the Dutch colonial period, </w:t>
      </w:r>
      <w:r w:rsidRPr="00C555DB">
        <w:rPr>
          <w:b/>
          <w:bCs/>
          <w:sz w:val="24"/>
          <w:szCs w:val="24"/>
        </w:rPr>
        <w:t>inheritance tax (</w:t>
      </w:r>
      <w:proofErr w:type="spellStart"/>
      <w:r w:rsidRPr="00C555DB">
        <w:rPr>
          <w:b/>
          <w:bCs/>
          <w:sz w:val="24"/>
          <w:szCs w:val="24"/>
        </w:rPr>
        <w:t>erfbelasting</w:t>
      </w:r>
      <w:proofErr w:type="spellEnd"/>
      <w:r w:rsidRPr="00C555DB">
        <w:rPr>
          <w:b/>
          <w:bCs/>
          <w:sz w:val="24"/>
          <w:szCs w:val="24"/>
        </w:rPr>
        <w:t>)</w:t>
      </w:r>
      <w:r w:rsidRPr="00C555DB">
        <w:rPr>
          <w:sz w:val="24"/>
          <w:szCs w:val="24"/>
        </w:rPr>
        <w:t xml:space="preserve"> existed in the Dutch East Indies (Indonesia). This was introduced as early as the </w:t>
      </w:r>
      <w:r w:rsidRPr="00C555DB">
        <w:rPr>
          <w:b/>
          <w:bCs/>
          <w:sz w:val="24"/>
          <w:szCs w:val="24"/>
        </w:rPr>
        <w:t>19th century</w:t>
      </w:r>
      <w:r w:rsidRPr="00C555DB">
        <w:rPr>
          <w:sz w:val="24"/>
          <w:szCs w:val="24"/>
        </w:rPr>
        <w:t>. However, it was a system mostly tied to Dutch laws and regulations that applied to the colony.</w:t>
      </w:r>
    </w:p>
    <w:p w14:paraId="2C1EC9E1" w14:textId="77777777" w:rsidR="00C555DB" w:rsidRPr="00C555DB" w:rsidRDefault="00C555DB" w:rsidP="00C555DB">
      <w:pPr>
        <w:numPr>
          <w:ilvl w:val="0"/>
          <w:numId w:val="2"/>
        </w:numPr>
        <w:rPr>
          <w:sz w:val="24"/>
          <w:szCs w:val="24"/>
        </w:rPr>
      </w:pPr>
      <w:r w:rsidRPr="00C555DB">
        <w:rPr>
          <w:b/>
          <w:bCs/>
          <w:sz w:val="24"/>
          <w:szCs w:val="24"/>
        </w:rPr>
        <w:t>Gift Tax</w:t>
      </w:r>
      <w:r w:rsidRPr="00C555DB">
        <w:rPr>
          <w:sz w:val="24"/>
          <w:szCs w:val="24"/>
        </w:rPr>
        <w:t xml:space="preserve">: Gift taxation also existed during this time, though it was more closely tied to </w:t>
      </w:r>
      <w:r w:rsidRPr="00C555DB">
        <w:rPr>
          <w:b/>
          <w:bCs/>
          <w:sz w:val="24"/>
          <w:szCs w:val="24"/>
        </w:rPr>
        <w:t>inheritance law</w:t>
      </w:r>
      <w:r w:rsidRPr="00C555DB">
        <w:rPr>
          <w:sz w:val="24"/>
          <w:szCs w:val="24"/>
        </w:rPr>
        <w:t xml:space="preserve"> rather than being a distinct tax category.</w:t>
      </w:r>
    </w:p>
    <w:p w14:paraId="343383EC" w14:textId="77777777" w:rsidR="00C555DB" w:rsidRPr="00C555DB" w:rsidRDefault="00C555DB" w:rsidP="00C555DB">
      <w:pPr>
        <w:rPr>
          <w:b/>
          <w:bCs/>
          <w:sz w:val="24"/>
          <w:szCs w:val="24"/>
        </w:rPr>
      </w:pPr>
      <w:r w:rsidRPr="00C555DB">
        <w:rPr>
          <w:b/>
          <w:bCs/>
          <w:sz w:val="24"/>
          <w:szCs w:val="24"/>
        </w:rPr>
        <w:t>Post-Independence:</w:t>
      </w:r>
    </w:p>
    <w:p w14:paraId="3758BDA4" w14:textId="77777777" w:rsidR="00C555DB" w:rsidRPr="00C555DB" w:rsidRDefault="00C555DB" w:rsidP="00C555DB">
      <w:pPr>
        <w:numPr>
          <w:ilvl w:val="0"/>
          <w:numId w:val="3"/>
        </w:numPr>
        <w:rPr>
          <w:sz w:val="24"/>
          <w:szCs w:val="24"/>
        </w:rPr>
      </w:pPr>
      <w:r w:rsidRPr="00C555DB">
        <w:rPr>
          <w:b/>
          <w:bCs/>
          <w:sz w:val="24"/>
          <w:szCs w:val="24"/>
        </w:rPr>
        <w:t>Early Republic Period (1945–1950s)</w:t>
      </w:r>
      <w:r w:rsidRPr="00C555DB">
        <w:rPr>
          <w:sz w:val="24"/>
          <w:szCs w:val="24"/>
        </w:rPr>
        <w:t>: After independence, Indonesia initially kept many Dutch-era regulations, including those on inheritance, in place. However, the specific tax laws for estate and gift taxes were not clearly codified under Indonesian law immediately after independence.</w:t>
      </w:r>
    </w:p>
    <w:p w14:paraId="62700C4D" w14:textId="77777777" w:rsidR="00C555DB" w:rsidRPr="00C555DB" w:rsidRDefault="00C555DB" w:rsidP="00C555DB">
      <w:pPr>
        <w:numPr>
          <w:ilvl w:val="0"/>
          <w:numId w:val="3"/>
        </w:numPr>
        <w:rPr>
          <w:sz w:val="24"/>
          <w:szCs w:val="24"/>
        </w:rPr>
      </w:pPr>
      <w:r w:rsidRPr="00C555DB">
        <w:rPr>
          <w:b/>
          <w:bCs/>
          <w:sz w:val="24"/>
          <w:szCs w:val="24"/>
        </w:rPr>
        <w:t>1950s to 1980s</w:t>
      </w:r>
      <w:r w:rsidRPr="00C555DB">
        <w:rPr>
          <w:sz w:val="24"/>
          <w:szCs w:val="24"/>
        </w:rPr>
        <w:t xml:space="preserve">: While inheritance and gift taxes existed in various forms, they were not fully integrated or unified into a clear, specific legal framework until </w:t>
      </w:r>
      <w:r w:rsidRPr="00C555DB">
        <w:rPr>
          <w:b/>
          <w:bCs/>
          <w:sz w:val="24"/>
          <w:szCs w:val="24"/>
        </w:rPr>
        <w:t>1985</w:t>
      </w:r>
      <w:r w:rsidRPr="00C555DB">
        <w:rPr>
          <w:sz w:val="24"/>
          <w:szCs w:val="24"/>
        </w:rPr>
        <w:t xml:space="preserve"> with </w:t>
      </w:r>
      <w:r w:rsidRPr="00C555DB">
        <w:rPr>
          <w:sz w:val="24"/>
          <w:szCs w:val="24"/>
        </w:rPr>
        <w:lastRenderedPageBreak/>
        <w:t xml:space="preserve">the introduction of </w:t>
      </w:r>
      <w:r w:rsidRPr="00C555DB">
        <w:rPr>
          <w:b/>
          <w:bCs/>
          <w:sz w:val="24"/>
          <w:szCs w:val="24"/>
        </w:rPr>
        <w:t>Law No. 7/1983</w:t>
      </w:r>
      <w:r w:rsidRPr="00C555DB">
        <w:rPr>
          <w:sz w:val="24"/>
          <w:szCs w:val="24"/>
        </w:rPr>
        <w:t xml:space="preserve"> (income tax law) and later the </w:t>
      </w:r>
      <w:r w:rsidRPr="00C555DB">
        <w:rPr>
          <w:b/>
          <w:bCs/>
          <w:sz w:val="24"/>
          <w:szCs w:val="24"/>
        </w:rPr>
        <w:t>Estate Duty and Gift Tax Law</w:t>
      </w:r>
      <w:r w:rsidRPr="00C555DB">
        <w:rPr>
          <w:sz w:val="24"/>
          <w:szCs w:val="24"/>
        </w:rPr>
        <w:t xml:space="preserve"> in 1997.</w:t>
      </w:r>
    </w:p>
    <w:p w14:paraId="6CEE1838" w14:textId="77777777" w:rsidR="00E06371" w:rsidRPr="00E06371" w:rsidRDefault="00E06371" w:rsidP="00E06371">
      <w:pPr>
        <w:rPr>
          <w:sz w:val="24"/>
          <w:szCs w:val="24"/>
        </w:rPr>
      </w:pPr>
      <w:r w:rsidRPr="00E06371">
        <w:rPr>
          <w:sz w:val="24"/>
          <w:szCs w:val="24"/>
        </w:rPr>
        <w:t>Indonesia first introduced estate, inheritance, and gift taxation during the Dutch colonial period. Here's an overview of the evolution of these taxes:</w:t>
      </w:r>
    </w:p>
    <w:p w14:paraId="052409E5" w14:textId="77777777" w:rsidR="00E06371" w:rsidRPr="00E06371" w:rsidRDefault="00E06371" w:rsidP="00E06371">
      <w:pPr>
        <w:rPr>
          <w:b/>
          <w:bCs/>
          <w:sz w:val="24"/>
          <w:szCs w:val="24"/>
        </w:rPr>
      </w:pPr>
      <w:r w:rsidRPr="00E06371">
        <w:rPr>
          <w:b/>
          <w:bCs/>
          <w:sz w:val="24"/>
          <w:szCs w:val="24"/>
        </w:rPr>
        <w:t>Pre-Colonial (Before 1600s)</w:t>
      </w:r>
    </w:p>
    <w:p w14:paraId="529C38E2" w14:textId="77777777" w:rsidR="00E06371" w:rsidRPr="00E06371" w:rsidRDefault="00E06371" w:rsidP="00E06371">
      <w:pPr>
        <w:numPr>
          <w:ilvl w:val="0"/>
          <w:numId w:val="4"/>
        </w:numPr>
        <w:rPr>
          <w:sz w:val="24"/>
          <w:szCs w:val="24"/>
        </w:rPr>
      </w:pPr>
      <w:r w:rsidRPr="00E06371">
        <w:rPr>
          <w:b/>
          <w:bCs/>
          <w:sz w:val="24"/>
          <w:szCs w:val="24"/>
        </w:rPr>
        <w:t>No formal taxation</w:t>
      </w:r>
      <w:r w:rsidRPr="00E06371">
        <w:rPr>
          <w:sz w:val="24"/>
          <w:szCs w:val="24"/>
        </w:rPr>
        <w:t>: Traditional societies in Indonesia did not have a formal estate, inheritance, or gift tax system. Wealth was typically passed through familial ties or local customs.</w:t>
      </w:r>
    </w:p>
    <w:p w14:paraId="4E3F13C3" w14:textId="77777777" w:rsidR="00E06371" w:rsidRPr="00E06371" w:rsidRDefault="00E06371" w:rsidP="00E06371">
      <w:pPr>
        <w:rPr>
          <w:b/>
          <w:bCs/>
          <w:sz w:val="24"/>
          <w:szCs w:val="24"/>
        </w:rPr>
      </w:pPr>
      <w:r w:rsidRPr="00E06371">
        <w:rPr>
          <w:b/>
          <w:bCs/>
          <w:sz w:val="24"/>
          <w:szCs w:val="24"/>
        </w:rPr>
        <w:t>Colonial Period (1600s - 1945)</w:t>
      </w:r>
    </w:p>
    <w:p w14:paraId="64E5FBA0" w14:textId="77777777" w:rsidR="00E06371" w:rsidRPr="00E06371" w:rsidRDefault="00E06371" w:rsidP="00E06371">
      <w:pPr>
        <w:numPr>
          <w:ilvl w:val="0"/>
          <w:numId w:val="5"/>
        </w:numPr>
        <w:rPr>
          <w:sz w:val="24"/>
          <w:szCs w:val="24"/>
        </w:rPr>
      </w:pPr>
      <w:r w:rsidRPr="00E06371">
        <w:rPr>
          <w:b/>
          <w:bCs/>
          <w:sz w:val="24"/>
          <w:szCs w:val="24"/>
        </w:rPr>
        <w:t>Early Dutch Influence (1800s)</w:t>
      </w:r>
      <w:r w:rsidRPr="00E06371">
        <w:rPr>
          <w:sz w:val="24"/>
          <w:szCs w:val="24"/>
        </w:rPr>
        <w:t>: The Dutch introduced a more formal taxation system, but it was primarily aimed at controlling wealth among the colonial elite and ensuring state revenue.</w:t>
      </w:r>
    </w:p>
    <w:p w14:paraId="65F31685" w14:textId="77777777" w:rsidR="00E06371" w:rsidRPr="00E06371" w:rsidRDefault="00E06371" w:rsidP="00E06371">
      <w:pPr>
        <w:numPr>
          <w:ilvl w:val="0"/>
          <w:numId w:val="5"/>
        </w:numPr>
        <w:rPr>
          <w:sz w:val="24"/>
          <w:szCs w:val="24"/>
        </w:rPr>
      </w:pPr>
      <w:r w:rsidRPr="00E06371">
        <w:rPr>
          <w:b/>
          <w:bCs/>
          <w:sz w:val="24"/>
          <w:szCs w:val="24"/>
        </w:rPr>
        <w:t>Estate and Inheritance Taxes (1892)</w:t>
      </w:r>
      <w:r w:rsidRPr="00E06371">
        <w:rPr>
          <w:sz w:val="24"/>
          <w:szCs w:val="24"/>
        </w:rPr>
        <w:t>: The Dutch East Indies established estate and inheritance tax laws with the introduction of the "</w:t>
      </w:r>
      <w:proofErr w:type="spellStart"/>
      <w:r w:rsidRPr="00E06371">
        <w:rPr>
          <w:sz w:val="24"/>
          <w:szCs w:val="24"/>
        </w:rPr>
        <w:t>Successiewet</w:t>
      </w:r>
      <w:proofErr w:type="spellEnd"/>
      <w:r w:rsidRPr="00E06371">
        <w:rPr>
          <w:sz w:val="24"/>
          <w:szCs w:val="24"/>
        </w:rPr>
        <w:t>" (Inheritance Tax Act), which taxed the transfer of wealth upon death. This was aimed at the local elite and wealthy Dutch settlers.</w:t>
      </w:r>
    </w:p>
    <w:p w14:paraId="39B3CDA6" w14:textId="77777777" w:rsidR="00E06371" w:rsidRPr="00E06371" w:rsidRDefault="00E06371" w:rsidP="00E06371">
      <w:pPr>
        <w:numPr>
          <w:ilvl w:val="0"/>
          <w:numId w:val="5"/>
        </w:numPr>
        <w:rPr>
          <w:sz w:val="24"/>
          <w:szCs w:val="24"/>
        </w:rPr>
      </w:pPr>
      <w:r w:rsidRPr="00E06371">
        <w:rPr>
          <w:b/>
          <w:bCs/>
          <w:sz w:val="24"/>
          <w:szCs w:val="24"/>
        </w:rPr>
        <w:t>Gift Taxes</w:t>
      </w:r>
      <w:r w:rsidRPr="00E06371">
        <w:rPr>
          <w:sz w:val="24"/>
          <w:szCs w:val="24"/>
        </w:rPr>
        <w:t>: Gift taxes were also introduced during the colonial period, though they were often applied unevenly and were more focused on the estates of the colonizers.</w:t>
      </w:r>
    </w:p>
    <w:p w14:paraId="41E53145" w14:textId="77777777" w:rsidR="00E06371" w:rsidRPr="00E06371" w:rsidRDefault="00E06371" w:rsidP="00E06371">
      <w:pPr>
        <w:rPr>
          <w:b/>
          <w:bCs/>
          <w:sz w:val="24"/>
          <w:szCs w:val="24"/>
        </w:rPr>
      </w:pPr>
      <w:r w:rsidRPr="00E06371">
        <w:rPr>
          <w:b/>
          <w:bCs/>
          <w:sz w:val="24"/>
          <w:szCs w:val="24"/>
        </w:rPr>
        <w:t>Post-Independence (1945 - Present)</w:t>
      </w:r>
    </w:p>
    <w:p w14:paraId="10A00759" w14:textId="77777777" w:rsidR="00E06371" w:rsidRPr="00E06371" w:rsidRDefault="00E06371" w:rsidP="00E06371">
      <w:pPr>
        <w:numPr>
          <w:ilvl w:val="0"/>
          <w:numId w:val="6"/>
        </w:numPr>
        <w:rPr>
          <w:sz w:val="24"/>
          <w:szCs w:val="24"/>
        </w:rPr>
      </w:pPr>
      <w:r w:rsidRPr="00E06371">
        <w:rPr>
          <w:b/>
          <w:bCs/>
          <w:sz w:val="24"/>
          <w:szCs w:val="24"/>
        </w:rPr>
        <w:t>Post-Independence Taxation (1945-1960s)</w:t>
      </w:r>
      <w:r w:rsidRPr="00E06371">
        <w:rPr>
          <w:sz w:val="24"/>
          <w:szCs w:val="24"/>
        </w:rPr>
        <w:t>: After Indonesia gained independence, the government retained and revised the estate and inheritance tax system. In 1957, Indonesia passed laws to regulate inheritance and estate taxes more systematically.</w:t>
      </w:r>
    </w:p>
    <w:p w14:paraId="6646AEA8" w14:textId="77777777" w:rsidR="00E06371" w:rsidRPr="00E06371" w:rsidRDefault="00E06371" w:rsidP="00E06371">
      <w:pPr>
        <w:numPr>
          <w:ilvl w:val="0"/>
          <w:numId w:val="6"/>
        </w:numPr>
        <w:rPr>
          <w:sz w:val="24"/>
          <w:szCs w:val="24"/>
        </w:rPr>
      </w:pPr>
      <w:r w:rsidRPr="00E06371">
        <w:rPr>
          <w:b/>
          <w:bCs/>
          <w:sz w:val="24"/>
          <w:szCs w:val="24"/>
        </w:rPr>
        <w:t>1994 Reforms</w:t>
      </w:r>
      <w:r w:rsidRPr="00E06371">
        <w:rPr>
          <w:sz w:val="24"/>
          <w:szCs w:val="24"/>
        </w:rPr>
        <w:t>: The tax system evolved further with the introduction of a new set of regulations under Law No. 6/1994. This reformed inheritance and estate taxation, modernizing rates and thresholds.</w:t>
      </w:r>
    </w:p>
    <w:p w14:paraId="40A74E41" w14:textId="77777777" w:rsidR="00E06371" w:rsidRPr="00E06371" w:rsidRDefault="00E06371" w:rsidP="00E06371">
      <w:pPr>
        <w:numPr>
          <w:ilvl w:val="0"/>
          <w:numId w:val="6"/>
        </w:numPr>
        <w:rPr>
          <w:sz w:val="24"/>
          <w:szCs w:val="24"/>
        </w:rPr>
      </w:pPr>
      <w:r w:rsidRPr="00E06371">
        <w:rPr>
          <w:b/>
          <w:bCs/>
          <w:sz w:val="24"/>
          <w:szCs w:val="24"/>
        </w:rPr>
        <w:t>Recent Developments (2000s - Present)</w:t>
      </w:r>
      <w:r w:rsidRPr="00E06371">
        <w:rPr>
          <w:sz w:val="24"/>
          <w:szCs w:val="24"/>
        </w:rPr>
        <w:t xml:space="preserve">: The estate and inheritance taxes have undergone further refinement, though they remain relatively low compared to Western standards. Inheritance taxes are now governed by the </w:t>
      </w:r>
      <w:r w:rsidRPr="00E06371">
        <w:rPr>
          <w:b/>
          <w:bCs/>
          <w:sz w:val="24"/>
          <w:szCs w:val="24"/>
        </w:rPr>
        <w:t>Taxation Law No. 36/2008</w:t>
      </w:r>
      <w:r w:rsidRPr="00E06371">
        <w:rPr>
          <w:sz w:val="24"/>
          <w:szCs w:val="24"/>
        </w:rPr>
        <w:t xml:space="preserve"> and other regulations.</w:t>
      </w:r>
    </w:p>
    <w:p w14:paraId="6D71EAAD" w14:textId="77777777" w:rsidR="00E06371" w:rsidRPr="00E06371" w:rsidRDefault="00E06371" w:rsidP="00E06371">
      <w:pPr>
        <w:rPr>
          <w:b/>
          <w:bCs/>
          <w:sz w:val="24"/>
          <w:szCs w:val="24"/>
        </w:rPr>
      </w:pPr>
      <w:r w:rsidRPr="00E06371">
        <w:rPr>
          <w:b/>
          <w:bCs/>
          <w:sz w:val="24"/>
          <w:szCs w:val="24"/>
        </w:rPr>
        <w:t>Key Milestones</w:t>
      </w:r>
    </w:p>
    <w:p w14:paraId="4644F199" w14:textId="77777777" w:rsidR="00E06371" w:rsidRPr="00E06371" w:rsidRDefault="00E06371" w:rsidP="00E06371">
      <w:pPr>
        <w:numPr>
          <w:ilvl w:val="0"/>
          <w:numId w:val="7"/>
        </w:numPr>
        <w:rPr>
          <w:sz w:val="24"/>
          <w:szCs w:val="24"/>
        </w:rPr>
      </w:pPr>
      <w:r w:rsidRPr="00E06371">
        <w:rPr>
          <w:b/>
          <w:bCs/>
          <w:sz w:val="24"/>
          <w:szCs w:val="24"/>
        </w:rPr>
        <w:t>1892</w:t>
      </w:r>
      <w:r w:rsidRPr="00E06371">
        <w:rPr>
          <w:sz w:val="24"/>
          <w:szCs w:val="24"/>
        </w:rPr>
        <w:t>: Introduction of inheritance tax during colonial rule.</w:t>
      </w:r>
    </w:p>
    <w:p w14:paraId="5DF55312" w14:textId="77777777" w:rsidR="00E06371" w:rsidRPr="00E06371" w:rsidRDefault="00E06371" w:rsidP="00E06371">
      <w:pPr>
        <w:numPr>
          <w:ilvl w:val="0"/>
          <w:numId w:val="7"/>
        </w:numPr>
        <w:rPr>
          <w:sz w:val="24"/>
          <w:szCs w:val="24"/>
        </w:rPr>
      </w:pPr>
      <w:r w:rsidRPr="00E06371">
        <w:rPr>
          <w:b/>
          <w:bCs/>
          <w:sz w:val="24"/>
          <w:szCs w:val="24"/>
        </w:rPr>
        <w:t>1957</w:t>
      </w:r>
      <w:r w:rsidRPr="00E06371">
        <w:rPr>
          <w:sz w:val="24"/>
          <w:szCs w:val="24"/>
        </w:rPr>
        <w:t>: Post-independence regulations on inheritance and estate taxes.</w:t>
      </w:r>
    </w:p>
    <w:p w14:paraId="2780C73C" w14:textId="77777777" w:rsidR="00E06371" w:rsidRPr="00E06371" w:rsidRDefault="00E06371" w:rsidP="00E06371">
      <w:pPr>
        <w:numPr>
          <w:ilvl w:val="0"/>
          <w:numId w:val="7"/>
        </w:numPr>
        <w:rPr>
          <w:sz w:val="24"/>
          <w:szCs w:val="24"/>
        </w:rPr>
      </w:pPr>
      <w:r w:rsidRPr="00E06371">
        <w:rPr>
          <w:b/>
          <w:bCs/>
          <w:sz w:val="24"/>
          <w:szCs w:val="24"/>
        </w:rPr>
        <w:lastRenderedPageBreak/>
        <w:t>1994</w:t>
      </w:r>
      <w:r w:rsidRPr="00E06371">
        <w:rPr>
          <w:sz w:val="24"/>
          <w:szCs w:val="24"/>
        </w:rPr>
        <w:t>: Major reforms to estate and inheritance tax laws.</w:t>
      </w:r>
    </w:p>
    <w:p w14:paraId="12681FA4" w14:textId="77777777" w:rsidR="00E06371" w:rsidRPr="00E06371" w:rsidRDefault="00E06371" w:rsidP="00E06371">
      <w:pPr>
        <w:numPr>
          <w:ilvl w:val="0"/>
          <w:numId w:val="7"/>
        </w:numPr>
        <w:rPr>
          <w:sz w:val="24"/>
          <w:szCs w:val="24"/>
        </w:rPr>
      </w:pPr>
      <w:r w:rsidRPr="00E06371">
        <w:rPr>
          <w:b/>
          <w:bCs/>
          <w:sz w:val="24"/>
          <w:szCs w:val="24"/>
        </w:rPr>
        <w:t>2008</w:t>
      </w:r>
      <w:r w:rsidRPr="00E06371">
        <w:rPr>
          <w:sz w:val="24"/>
          <w:szCs w:val="24"/>
        </w:rPr>
        <w:t>: Finalization of inheritance and estate taxation under the national tax law.</w:t>
      </w:r>
    </w:p>
    <w:p w14:paraId="1C27F7FB" w14:textId="77777777" w:rsidR="003842C3" w:rsidRPr="003842C3" w:rsidRDefault="003842C3">
      <w:pPr>
        <w:rPr>
          <w:sz w:val="24"/>
          <w:szCs w:val="24"/>
        </w:rPr>
      </w:pPr>
    </w:p>
    <w:sectPr w:rsidR="003842C3" w:rsidRPr="0038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468E9"/>
    <w:multiLevelType w:val="multilevel"/>
    <w:tmpl w:val="F446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C19D2"/>
    <w:multiLevelType w:val="multilevel"/>
    <w:tmpl w:val="60D4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439A1"/>
    <w:multiLevelType w:val="multilevel"/>
    <w:tmpl w:val="20F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55BEA"/>
    <w:multiLevelType w:val="multilevel"/>
    <w:tmpl w:val="F2A2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020DB"/>
    <w:multiLevelType w:val="multilevel"/>
    <w:tmpl w:val="738C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74DC7"/>
    <w:multiLevelType w:val="multilevel"/>
    <w:tmpl w:val="3B9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61D26"/>
    <w:multiLevelType w:val="multilevel"/>
    <w:tmpl w:val="04EE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518506">
    <w:abstractNumId w:val="6"/>
  </w:num>
  <w:num w:numId="2" w16cid:durableId="1365135556">
    <w:abstractNumId w:val="1"/>
  </w:num>
  <w:num w:numId="3" w16cid:durableId="461777163">
    <w:abstractNumId w:val="3"/>
  </w:num>
  <w:num w:numId="4" w16cid:durableId="1509562968">
    <w:abstractNumId w:val="0"/>
  </w:num>
  <w:num w:numId="5" w16cid:durableId="565729864">
    <w:abstractNumId w:val="5"/>
  </w:num>
  <w:num w:numId="6" w16cid:durableId="1954701169">
    <w:abstractNumId w:val="4"/>
  </w:num>
  <w:num w:numId="7" w16cid:durableId="68508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C3"/>
    <w:rsid w:val="000B429A"/>
    <w:rsid w:val="003842C3"/>
    <w:rsid w:val="005C7351"/>
    <w:rsid w:val="00972D53"/>
    <w:rsid w:val="00A94B39"/>
    <w:rsid w:val="00C555DB"/>
    <w:rsid w:val="00E06371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903D"/>
  <w15:chartTrackingRefBased/>
  <w15:docId w15:val="{32C4FFE9-0FEB-436B-A3CE-A7F04029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2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2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2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2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2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2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2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2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2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2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SHABIR</dc:creator>
  <cp:keywords/>
  <dc:description/>
  <cp:lastModifiedBy>GHULAM SHABIR</cp:lastModifiedBy>
  <cp:revision>4</cp:revision>
  <dcterms:created xsi:type="dcterms:W3CDTF">2024-11-27T22:13:00Z</dcterms:created>
  <dcterms:modified xsi:type="dcterms:W3CDTF">2024-11-27T22:30:00Z</dcterms:modified>
</cp:coreProperties>
</file>