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A862" w14:textId="77777777" w:rsidR="0095288A" w:rsidRDefault="0095288A" w:rsidP="001840C2">
      <w:pPr>
        <w:pStyle w:val="SMHeading"/>
        <w:spacing w:line="360" w:lineRule="auto"/>
        <w:rPr>
          <w:lang w:val="en-DE"/>
        </w:rPr>
      </w:pPr>
      <w:r>
        <w:rPr>
          <w:lang w:val="en-DE"/>
        </w:rPr>
        <w:t>Introduction</w:t>
      </w:r>
    </w:p>
    <w:p w14:paraId="5333BB40" w14:textId="77777777" w:rsidR="0095288A" w:rsidRDefault="0095288A" w:rsidP="0095288A">
      <w:pPr>
        <w:spacing w:line="360" w:lineRule="auto"/>
        <w:rPr>
          <w:szCs w:val="24"/>
          <w:lang w:val="en-DE"/>
        </w:rPr>
      </w:pPr>
      <w:r w:rsidRPr="00635CAB">
        <w:rPr>
          <w:szCs w:val="24"/>
          <w:lang w:val="en-DE"/>
        </w:rPr>
        <w:t>In the previous two chapters we investigated the formation and retrieval of episodic memories on the level of single neurons</w:t>
      </w:r>
      <w:r>
        <w:rPr>
          <w:szCs w:val="24"/>
          <w:lang w:val="en-DE"/>
        </w:rPr>
        <w:t xml:space="preserve"> in the human hippocampus</w:t>
      </w:r>
      <w:r w:rsidRPr="00635CAB">
        <w:rPr>
          <w:szCs w:val="24"/>
          <w:lang w:val="en-DE"/>
        </w:rPr>
        <w:t xml:space="preserve">. </w:t>
      </w:r>
      <w:r>
        <w:rPr>
          <w:szCs w:val="24"/>
          <w:lang w:val="en-DE"/>
        </w:rPr>
        <w:t xml:space="preserve">We provided compelling evidence in the second chapter that this episode specific code that is expressed through individual assemblies of neurons (ESNs) is separate from Concept Neurons. </w:t>
      </w:r>
      <w:r w:rsidRPr="00635CAB">
        <w:rPr>
          <w:szCs w:val="24"/>
          <w:lang w:val="en-DE"/>
        </w:rPr>
        <w:t xml:space="preserve">In this chapter we will delve into </w:t>
      </w:r>
      <w:r>
        <w:rPr>
          <w:szCs w:val="24"/>
          <w:lang w:val="en-DE"/>
        </w:rPr>
        <w:t xml:space="preserve">the </w:t>
      </w:r>
      <w:r w:rsidRPr="00635CAB">
        <w:rPr>
          <w:szCs w:val="24"/>
          <w:lang w:val="en-DE"/>
        </w:rPr>
        <w:t>neurophysiological substrates of memory processing that is one level above that: the local field potential (LFP). The LFP represents the synchron</w:t>
      </w:r>
      <w:r>
        <w:rPr>
          <w:szCs w:val="24"/>
          <w:lang w:val="en-DE"/>
        </w:rPr>
        <w:t>o</w:t>
      </w:r>
      <w:r w:rsidRPr="00635CAB">
        <w:rPr>
          <w:szCs w:val="24"/>
          <w:lang w:val="en-DE"/>
        </w:rPr>
        <w:t>us firing activity of hundred</w:t>
      </w:r>
      <w:r>
        <w:rPr>
          <w:szCs w:val="24"/>
          <w:lang w:val="en-DE"/>
        </w:rPr>
        <w:t>s</w:t>
      </w:r>
      <w:r w:rsidRPr="00635CAB">
        <w:rPr>
          <w:szCs w:val="24"/>
          <w:lang w:val="en-DE"/>
        </w:rPr>
        <w:t xml:space="preserve"> of thousands of neurons (xx). We will probe the role of two prominent frequencies in the hippocampus: the theta frequency (2-9 Hz) and activity in the high frequency band (70-150 Hz). </w:t>
      </w:r>
    </w:p>
    <w:p w14:paraId="02A365A3" w14:textId="77777777" w:rsidR="0095288A" w:rsidRPr="00635CAB" w:rsidRDefault="0095288A" w:rsidP="0095288A">
      <w:pPr>
        <w:spacing w:line="360" w:lineRule="auto"/>
        <w:rPr>
          <w:szCs w:val="24"/>
          <w:lang w:val="en-DE"/>
        </w:rPr>
      </w:pPr>
      <w:r w:rsidRPr="00635CAB">
        <w:rPr>
          <w:szCs w:val="24"/>
          <w:lang w:val="en-DE"/>
        </w:rPr>
        <w:t xml:space="preserve">Activity in the theta band seems to enable the coordination of inter-areal synchrony supporting information flow between distant brain areas (xx) and to segment or chunk the ongoing brain signal into blocks of information (expand). In their influential work </w:t>
      </w:r>
      <w:proofErr w:type="spellStart"/>
      <w:r w:rsidRPr="00635CAB">
        <w:rPr>
          <w:szCs w:val="24"/>
          <w:lang w:val="en-DE"/>
        </w:rPr>
        <w:t>Hasselmo</w:t>
      </w:r>
      <w:proofErr w:type="spellEnd"/>
      <w:r w:rsidRPr="00635CAB">
        <w:rPr>
          <w:szCs w:val="24"/>
          <w:lang w:val="en-DE"/>
        </w:rPr>
        <w:t xml:space="preserve"> and colleagues propose that the theta phase separates states of memory encoding and states of retrieval by 180° with the aim to minimize interference between the ongoing experience and previous memories (</w:t>
      </w:r>
      <w:r w:rsidRPr="00635CAB">
        <w:rPr>
          <w:szCs w:val="24"/>
          <w:lang w:val="en-GB"/>
        </w:rPr>
        <w:t>10.1162/089976602317318965</w:t>
      </w:r>
      <w:r w:rsidRPr="00635CAB">
        <w:rPr>
          <w:szCs w:val="24"/>
          <w:lang w:val="en-DE"/>
        </w:rPr>
        <w:t xml:space="preserve">; </w:t>
      </w:r>
      <w:r w:rsidRPr="00635CAB">
        <w:rPr>
          <w:szCs w:val="24"/>
        </w:rPr>
        <w:t>10.1002/hipo.20116</w:t>
      </w:r>
      <w:r w:rsidRPr="00635CAB">
        <w:rPr>
          <w:szCs w:val="24"/>
          <w:lang w:val="en-DE"/>
        </w:rPr>
        <w:t xml:space="preserve">). (add stuff from </w:t>
      </w:r>
      <w:proofErr w:type="spellStart"/>
      <w:r w:rsidRPr="00635CAB">
        <w:rPr>
          <w:szCs w:val="24"/>
          <w:lang w:val="en-DE"/>
        </w:rPr>
        <w:t>ruetishauser</w:t>
      </w:r>
      <w:proofErr w:type="spellEnd"/>
      <w:r w:rsidRPr="00635CAB">
        <w:rPr>
          <w:szCs w:val="24"/>
          <w:lang w:val="en-DE"/>
        </w:rPr>
        <w:t xml:space="preserve"> where he shows SFC with theta modulates memory?) We therefore hypothesize that neural firing during encoding and retrieval of episodic memories occurs during different phases of the ongoing theta oscillation. </w:t>
      </w:r>
    </w:p>
    <w:p w14:paraId="517EDA75" w14:textId="77777777" w:rsidR="0095288A" w:rsidRPr="00635CAB" w:rsidRDefault="0095288A" w:rsidP="0095288A">
      <w:pPr>
        <w:spacing w:line="360" w:lineRule="auto"/>
        <w:rPr>
          <w:szCs w:val="24"/>
          <w:lang w:val="en-DE"/>
        </w:rPr>
      </w:pPr>
      <w:r w:rsidRPr="00635CAB">
        <w:rPr>
          <w:szCs w:val="24"/>
          <w:lang w:val="en-DE"/>
        </w:rPr>
        <w:t>High frequency activity in the range of 70 Hz to 150 Hz has been used as a proxy for locally confined single neuron activity</w:t>
      </w:r>
      <w:r>
        <w:rPr>
          <w:szCs w:val="24"/>
          <w:lang w:val="en-DE"/>
        </w:rPr>
        <w:t xml:space="preserve"> (xx)</w:t>
      </w:r>
      <w:r w:rsidRPr="00635CAB">
        <w:rPr>
          <w:szCs w:val="24"/>
          <w:lang w:val="en-DE"/>
        </w:rPr>
        <w:t xml:space="preserve">. </w:t>
      </w:r>
      <w:proofErr w:type="spellStart"/>
      <w:r w:rsidRPr="00635CAB">
        <w:rPr>
          <w:szCs w:val="24"/>
          <w:lang w:val="en-DE"/>
        </w:rPr>
        <w:t>Ruetishauser</w:t>
      </w:r>
      <w:proofErr w:type="spellEnd"/>
      <w:r w:rsidRPr="00635CAB">
        <w:rPr>
          <w:szCs w:val="24"/>
          <w:lang w:val="en-DE"/>
        </w:rPr>
        <w:t xml:space="preserve"> and colleagues (novelty cells</w:t>
      </w:r>
      <w:r>
        <w:rPr>
          <w:szCs w:val="24"/>
          <w:lang w:val="en-DE"/>
        </w:rPr>
        <w:t xml:space="preserve"> xx</w:t>
      </w:r>
      <w:r w:rsidRPr="00635CAB">
        <w:rPr>
          <w:szCs w:val="24"/>
          <w:lang w:val="en-DE"/>
        </w:rPr>
        <w:t xml:space="preserve">) reported that 40% of all recorded cells responded to a new </w:t>
      </w:r>
      <w:proofErr w:type="spellStart"/>
      <w:r w:rsidRPr="00635CAB">
        <w:rPr>
          <w:szCs w:val="24"/>
          <w:lang w:val="en-DE"/>
        </w:rPr>
        <w:t>stimuls</w:t>
      </w:r>
      <w:proofErr w:type="spellEnd"/>
      <w:r w:rsidRPr="00635CAB">
        <w:rPr>
          <w:szCs w:val="24"/>
          <w:lang w:val="en-DE"/>
        </w:rPr>
        <w:t xml:space="preserve"> and xx% of all neurons responded to previously shown stimuli in a memory recognition task. It is unclear whether and how many of these neurons reinstate their firing rate and how these findings translate to a</w:t>
      </w:r>
      <w:r>
        <w:rPr>
          <w:szCs w:val="24"/>
          <w:lang w:val="en-DE"/>
        </w:rPr>
        <w:t>n</w:t>
      </w:r>
      <w:r w:rsidRPr="00635CAB">
        <w:rPr>
          <w:szCs w:val="24"/>
          <w:lang w:val="en-DE"/>
        </w:rPr>
        <w:t xml:space="preserve"> episodic memory task. However, based on these findings of task related widespread single neural activity in the hippocampus, we postulate a reinstatement of oscillatory power in the high frequency band from encoding of specific trials to their reinstatement during an episodic memory task. Concept Neurons on the other hand are thought to be part of smaller assemblies of about 160 neurons. We therefore expected not to find changes in high frequency power induced by specific concepts.</w:t>
      </w:r>
    </w:p>
    <w:p w14:paraId="0A8F95D9" w14:textId="4283DE36" w:rsidR="0095288A" w:rsidRDefault="0095288A" w:rsidP="0095288A">
      <w:pPr>
        <w:spacing w:line="360" w:lineRule="auto"/>
        <w:rPr>
          <w:szCs w:val="24"/>
          <w:lang w:val="en-DE"/>
        </w:rPr>
      </w:pPr>
      <w:r w:rsidRPr="00635CAB">
        <w:rPr>
          <w:szCs w:val="24"/>
          <w:lang w:val="en-DE"/>
        </w:rPr>
        <w:t>To conclude, we hypothesized that (</w:t>
      </w:r>
      <w:proofErr w:type="spellStart"/>
      <w:r w:rsidRPr="00635CAB">
        <w:rPr>
          <w:szCs w:val="24"/>
          <w:lang w:val="en-DE"/>
        </w:rPr>
        <w:t>i</w:t>
      </w:r>
      <w:proofErr w:type="spellEnd"/>
      <w:r w:rsidRPr="00635CAB">
        <w:rPr>
          <w:szCs w:val="24"/>
          <w:lang w:val="en-DE"/>
        </w:rPr>
        <w:t>) neural firing of ESNs occurs within separate theta phases during encoding and retrieval and that (ii) this episode specific code reflects in a reinstatement of high frequency power in the local field potential while (iii) Concept Neuron related activity is not captured by changes in high frequency power.</w:t>
      </w:r>
    </w:p>
    <w:p w14:paraId="57F09C53" w14:textId="44AA0CC5" w:rsidR="00E262FB" w:rsidRDefault="00E262FB" w:rsidP="0095288A">
      <w:pPr>
        <w:spacing w:line="360" w:lineRule="auto"/>
        <w:rPr>
          <w:szCs w:val="24"/>
          <w:lang w:val="en-DE"/>
        </w:rPr>
      </w:pPr>
    </w:p>
    <w:p w14:paraId="4AB8BBA1" w14:textId="2F33AAB2" w:rsidR="00E262FB" w:rsidRDefault="00E262FB" w:rsidP="0095288A">
      <w:pPr>
        <w:spacing w:line="360" w:lineRule="auto"/>
        <w:rPr>
          <w:szCs w:val="24"/>
          <w:lang w:val="en-DE"/>
        </w:rPr>
      </w:pPr>
      <w:r>
        <w:rPr>
          <w:szCs w:val="24"/>
          <w:lang w:val="en-DE"/>
        </w:rPr>
        <w:lastRenderedPageBreak/>
        <w:t>HFA notes:</w:t>
      </w:r>
    </w:p>
    <w:p w14:paraId="6F685A4C" w14:textId="77777777" w:rsidR="00E262FB" w:rsidRPr="00E262FB" w:rsidRDefault="00E262FB" w:rsidP="00E262FB">
      <w:pPr>
        <w:spacing w:line="360" w:lineRule="auto"/>
        <w:rPr>
          <w:szCs w:val="24"/>
          <w:lang w:val="en-DE"/>
        </w:rPr>
      </w:pPr>
      <w:r w:rsidRPr="00E262FB">
        <w:rPr>
          <w:szCs w:val="24"/>
          <w:lang w:val="en-DE"/>
        </w:rPr>
        <w:t xml:space="preserve">Because the amplitude of single neurons rapidly declines with an increasing distance to the neuron soma with current methods we cannot reliably record single neuron activity further than ~100 </w:t>
      </w:r>
      <w:proofErr w:type="spellStart"/>
      <w:r w:rsidRPr="00E262FB">
        <w:rPr>
          <w:szCs w:val="24"/>
          <w:lang w:val="en-DE"/>
        </w:rPr>
        <w:t>μm</w:t>
      </w:r>
      <w:proofErr w:type="spellEnd"/>
      <w:r w:rsidRPr="00E262FB">
        <w:rPr>
          <w:szCs w:val="24"/>
          <w:lang w:val="en-DE"/>
        </w:rPr>
        <w:t xml:space="preserve"> away (doi.org/10.1529/biophysj.107.111179; doi.org/10.1038/nn1233).</w:t>
      </w:r>
    </w:p>
    <w:p w14:paraId="115D17B0" w14:textId="77777777" w:rsidR="00E262FB" w:rsidRPr="00E262FB" w:rsidRDefault="00E262FB" w:rsidP="00E262FB">
      <w:pPr>
        <w:spacing w:line="360" w:lineRule="auto"/>
        <w:rPr>
          <w:szCs w:val="24"/>
          <w:lang w:val="en-DE"/>
        </w:rPr>
      </w:pPr>
    </w:p>
    <w:p w14:paraId="3B627B00" w14:textId="77777777" w:rsidR="00E262FB" w:rsidRPr="00E262FB" w:rsidRDefault="00E262FB" w:rsidP="00E262FB">
      <w:pPr>
        <w:spacing w:line="360" w:lineRule="auto"/>
        <w:rPr>
          <w:szCs w:val="24"/>
          <w:lang w:val="en-DE"/>
        </w:rPr>
      </w:pPr>
    </w:p>
    <w:p w14:paraId="4C159474" w14:textId="77777777" w:rsidR="00E262FB" w:rsidRPr="00E262FB" w:rsidRDefault="00E262FB" w:rsidP="00E262FB">
      <w:pPr>
        <w:spacing w:line="360" w:lineRule="auto"/>
        <w:rPr>
          <w:szCs w:val="24"/>
          <w:lang w:val="en-DE"/>
        </w:rPr>
      </w:pPr>
      <w:r w:rsidRPr="00E262FB">
        <w:rPr>
          <w:szCs w:val="24"/>
          <w:lang w:val="en-DE"/>
        </w:rPr>
        <w:t>microelectrodes in macaque somatosensory cortex: LFP HFA ~60-200 Hz correlates with average firing rate recorded</w:t>
      </w:r>
    </w:p>
    <w:p w14:paraId="72ECFDBB" w14:textId="77777777" w:rsidR="00E262FB" w:rsidRPr="00E262FB" w:rsidRDefault="00E262FB" w:rsidP="00E262FB">
      <w:pPr>
        <w:spacing w:line="360" w:lineRule="auto"/>
        <w:rPr>
          <w:szCs w:val="24"/>
          <w:lang w:val="en-DE"/>
        </w:rPr>
      </w:pPr>
      <w:r w:rsidRPr="00E262FB">
        <w:rPr>
          <w:szCs w:val="24"/>
          <w:lang w:val="en-DE"/>
        </w:rPr>
        <w:t>40-80hz showed a much smaller correlation. Computational model showed that this increased HFA power can be due to an increased firing rate or neural synchrony (more to the latter) [10.1523/JNEUROSCI.2848-08.2008]</w:t>
      </w:r>
    </w:p>
    <w:p w14:paraId="08CED5BD" w14:textId="77777777" w:rsidR="00E262FB" w:rsidRPr="00E262FB" w:rsidRDefault="00E262FB" w:rsidP="00E262FB">
      <w:pPr>
        <w:spacing w:line="360" w:lineRule="auto"/>
        <w:rPr>
          <w:szCs w:val="24"/>
          <w:lang w:val="en-DE"/>
        </w:rPr>
      </w:pPr>
    </w:p>
    <w:p w14:paraId="01EA6F3B" w14:textId="77777777" w:rsidR="00E262FB" w:rsidRPr="00E262FB" w:rsidRDefault="00E262FB" w:rsidP="00E262FB">
      <w:pPr>
        <w:spacing w:line="360" w:lineRule="auto"/>
        <w:rPr>
          <w:szCs w:val="24"/>
          <w:lang w:val="en-DE"/>
        </w:rPr>
      </w:pPr>
      <w:r w:rsidRPr="00E262FB">
        <w:rPr>
          <w:szCs w:val="24"/>
          <w:lang w:val="en-DE"/>
        </w:rPr>
        <w:t>increases in firing rate leads to a broadband increase in the power spectrum (doi.org/10.1371/journal.pcbi.1000609)</w:t>
      </w:r>
    </w:p>
    <w:p w14:paraId="19B9ED6C" w14:textId="77777777" w:rsidR="00E262FB" w:rsidRPr="00E262FB" w:rsidRDefault="00E262FB" w:rsidP="00E262FB">
      <w:pPr>
        <w:spacing w:line="360" w:lineRule="auto"/>
        <w:rPr>
          <w:szCs w:val="24"/>
          <w:lang w:val="en-DE"/>
        </w:rPr>
      </w:pPr>
    </w:p>
    <w:p w14:paraId="0CD60A8D" w14:textId="77777777" w:rsidR="00E262FB" w:rsidRPr="00E262FB" w:rsidRDefault="00E262FB" w:rsidP="00E262FB">
      <w:pPr>
        <w:spacing w:line="360" w:lineRule="auto"/>
        <w:rPr>
          <w:szCs w:val="24"/>
          <w:lang w:val="en-DE"/>
        </w:rPr>
      </w:pPr>
      <w:r w:rsidRPr="00E262FB">
        <w:rPr>
          <w:szCs w:val="24"/>
          <w:lang w:val="en-DE"/>
        </w:rPr>
        <w:t>Broadband LFP changes correlate with mean firing rate in humans (Manning; doi.org/10.1523/JNEUROSCI.2041-09.2009)</w:t>
      </w:r>
    </w:p>
    <w:p w14:paraId="0A5F8430" w14:textId="77777777" w:rsidR="00E262FB" w:rsidRPr="00E262FB" w:rsidRDefault="00E262FB" w:rsidP="00E262FB">
      <w:pPr>
        <w:spacing w:line="360" w:lineRule="auto"/>
        <w:rPr>
          <w:szCs w:val="24"/>
          <w:lang w:val="en-DE"/>
        </w:rPr>
      </w:pPr>
    </w:p>
    <w:p w14:paraId="0D5EEB6D" w14:textId="77777777" w:rsidR="00E262FB" w:rsidRPr="00E262FB" w:rsidRDefault="00E262FB" w:rsidP="00E262FB">
      <w:pPr>
        <w:spacing w:line="360" w:lineRule="auto"/>
        <w:rPr>
          <w:szCs w:val="24"/>
          <w:lang w:val="en-DE"/>
        </w:rPr>
      </w:pPr>
      <w:r w:rsidRPr="00E262FB">
        <w:rPr>
          <w:szCs w:val="24"/>
          <w:lang w:val="en-DE"/>
        </w:rPr>
        <w:t xml:space="preserve">The majority of the recorded LFP in the cortex has been demonstrated to originate from ~250 </w:t>
      </w:r>
      <w:proofErr w:type="spellStart"/>
      <w:r w:rsidRPr="00E262FB">
        <w:rPr>
          <w:szCs w:val="24"/>
          <w:lang w:val="en-DE"/>
        </w:rPr>
        <w:t>ym</w:t>
      </w:r>
      <w:proofErr w:type="spellEnd"/>
      <w:r w:rsidRPr="00E262FB">
        <w:rPr>
          <w:szCs w:val="24"/>
          <w:lang w:val="en-DE"/>
        </w:rPr>
        <w:t xml:space="preserve"> from the recording electrode[xx </w:t>
      </w:r>
      <w:proofErr w:type="spellStart"/>
      <w:r w:rsidRPr="00E262FB">
        <w:rPr>
          <w:szCs w:val="24"/>
          <w:lang w:val="en-DE"/>
        </w:rPr>
        <w:t>Katzner</w:t>
      </w:r>
      <w:proofErr w:type="spellEnd"/>
      <w:r w:rsidRPr="00E262FB">
        <w:rPr>
          <w:szCs w:val="24"/>
          <w:lang w:val="en-DE"/>
        </w:rPr>
        <w:t xml:space="preserve"> S, </w:t>
      </w:r>
      <w:proofErr w:type="spellStart"/>
      <w:r w:rsidRPr="00E262FB">
        <w:rPr>
          <w:szCs w:val="24"/>
          <w:lang w:val="en-DE"/>
        </w:rPr>
        <w:t>Nauhaus</w:t>
      </w:r>
      <w:proofErr w:type="spellEnd"/>
      <w:r w:rsidRPr="00E262FB">
        <w:rPr>
          <w:szCs w:val="24"/>
          <w:lang w:val="en-DE"/>
        </w:rPr>
        <w:t xml:space="preserve"> I, </w:t>
      </w:r>
      <w:proofErr w:type="spellStart"/>
      <w:r w:rsidRPr="00E262FB">
        <w:rPr>
          <w:szCs w:val="24"/>
          <w:lang w:val="en-DE"/>
        </w:rPr>
        <w:t>Benucci</w:t>
      </w:r>
      <w:proofErr w:type="spellEnd"/>
      <w:r w:rsidRPr="00E262FB">
        <w:rPr>
          <w:szCs w:val="24"/>
          <w:lang w:val="en-DE"/>
        </w:rPr>
        <w:t xml:space="preserve"> A, Bonin V, </w:t>
      </w:r>
      <w:proofErr w:type="spellStart"/>
      <w:r w:rsidRPr="00E262FB">
        <w:rPr>
          <w:szCs w:val="24"/>
          <w:lang w:val="en-DE"/>
        </w:rPr>
        <w:t>Ringach</w:t>
      </w:r>
      <w:proofErr w:type="spellEnd"/>
      <w:r w:rsidRPr="00E262FB">
        <w:rPr>
          <w:szCs w:val="24"/>
          <w:lang w:val="en-DE"/>
        </w:rPr>
        <w:t xml:space="preserve"> DL, et al. (2009) Local</w:t>
      </w:r>
    </w:p>
    <w:p w14:paraId="0D7A5ABD" w14:textId="77777777" w:rsidR="00E262FB" w:rsidRPr="00E262FB" w:rsidRDefault="00E262FB" w:rsidP="00E262FB">
      <w:pPr>
        <w:spacing w:line="360" w:lineRule="auto"/>
        <w:rPr>
          <w:szCs w:val="24"/>
          <w:lang w:val="en-DE"/>
        </w:rPr>
      </w:pPr>
      <w:r w:rsidRPr="00E262FB">
        <w:rPr>
          <w:szCs w:val="24"/>
          <w:lang w:val="en-DE"/>
        </w:rPr>
        <w:t>origin of field potentials in visual cortex. Neuron 61: 35–41 &amp;</w:t>
      </w:r>
    </w:p>
    <w:p w14:paraId="29F7C999" w14:textId="77777777" w:rsidR="00E262FB" w:rsidRPr="00E262FB" w:rsidRDefault="00E262FB" w:rsidP="00E262FB">
      <w:pPr>
        <w:spacing w:line="360" w:lineRule="auto"/>
        <w:rPr>
          <w:szCs w:val="24"/>
          <w:lang w:val="en-DE"/>
        </w:rPr>
      </w:pPr>
      <w:r w:rsidRPr="00E262FB">
        <w:rPr>
          <w:szCs w:val="24"/>
          <w:lang w:val="en-DE"/>
        </w:rPr>
        <w:t>xx Xing D, Yeh CI, Shapley RM (2009) Spatial spread of the local field potential</w:t>
      </w:r>
    </w:p>
    <w:p w14:paraId="21FDAA42" w14:textId="77777777" w:rsidR="00E262FB" w:rsidRPr="00E262FB" w:rsidRDefault="00E262FB" w:rsidP="00E262FB">
      <w:pPr>
        <w:spacing w:line="360" w:lineRule="auto"/>
        <w:rPr>
          <w:szCs w:val="24"/>
          <w:lang w:val="en-DE"/>
        </w:rPr>
      </w:pPr>
      <w:r w:rsidRPr="00E262FB">
        <w:rPr>
          <w:szCs w:val="24"/>
          <w:lang w:val="en-DE"/>
        </w:rPr>
        <w:t xml:space="preserve">and its laminar variation in visual cortex. J </w:t>
      </w:r>
      <w:proofErr w:type="spellStart"/>
      <w:r w:rsidRPr="00E262FB">
        <w:rPr>
          <w:szCs w:val="24"/>
          <w:lang w:val="en-DE"/>
        </w:rPr>
        <w:t>Neurosci</w:t>
      </w:r>
      <w:proofErr w:type="spellEnd"/>
      <w:r w:rsidRPr="00E262FB">
        <w:rPr>
          <w:szCs w:val="24"/>
          <w:lang w:val="en-DE"/>
        </w:rPr>
        <w:t xml:space="preserve"> 29: 11540–11549.]</w:t>
      </w:r>
    </w:p>
    <w:p w14:paraId="1B7957E2" w14:textId="77777777" w:rsidR="00E262FB" w:rsidRPr="00E262FB" w:rsidRDefault="00E262FB" w:rsidP="00E262FB">
      <w:pPr>
        <w:spacing w:line="360" w:lineRule="auto"/>
        <w:rPr>
          <w:szCs w:val="24"/>
          <w:lang w:val="en-DE"/>
        </w:rPr>
      </w:pPr>
    </w:p>
    <w:p w14:paraId="192D2B88" w14:textId="77777777" w:rsidR="00E262FB" w:rsidRPr="00E262FB" w:rsidRDefault="00E262FB" w:rsidP="00E262FB">
      <w:pPr>
        <w:spacing w:line="360" w:lineRule="auto"/>
        <w:rPr>
          <w:szCs w:val="24"/>
          <w:lang w:val="en-DE"/>
        </w:rPr>
      </w:pPr>
    </w:p>
    <w:p w14:paraId="74EBBD3F" w14:textId="77777777" w:rsidR="00E262FB" w:rsidRPr="00E262FB" w:rsidRDefault="00E262FB" w:rsidP="00E262FB">
      <w:pPr>
        <w:spacing w:line="360" w:lineRule="auto"/>
        <w:rPr>
          <w:szCs w:val="24"/>
          <w:lang w:val="en-DE"/>
        </w:rPr>
      </w:pPr>
    </w:p>
    <w:p w14:paraId="12C8069C" w14:textId="77777777" w:rsidR="00E262FB" w:rsidRPr="00E262FB" w:rsidRDefault="00E262FB" w:rsidP="00E262FB">
      <w:pPr>
        <w:spacing w:line="360" w:lineRule="auto"/>
        <w:rPr>
          <w:szCs w:val="24"/>
          <w:lang w:val="en-DE"/>
        </w:rPr>
      </w:pPr>
      <w:r w:rsidRPr="00E262FB">
        <w:rPr>
          <w:szCs w:val="24"/>
          <w:lang w:val="en-DE"/>
        </w:rPr>
        <w:t>In the visual cortex of the macaque neural firing correlated highly with high gamma power (80-200hz) and the authors suggest broadband high-gamma to be a reliable index of local neural firing. Neural firing likely leads to broadband power shifts but that they can only reliably be detected from &gt;50hz because of 1/f noise. (10.1371/journal.pbio.1000610)</w:t>
      </w:r>
    </w:p>
    <w:p w14:paraId="1EB257BB" w14:textId="77777777" w:rsidR="00E262FB" w:rsidRPr="00E262FB" w:rsidRDefault="00E262FB" w:rsidP="00E262FB">
      <w:pPr>
        <w:spacing w:line="360" w:lineRule="auto"/>
        <w:rPr>
          <w:szCs w:val="24"/>
          <w:lang w:val="en-DE"/>
        </w:rPr>
      </w:pPr>
    </w:p>
    <w:p w14:paraId="3ADC583B" w14:textId="77777777" w:rsidR="00E262FB" w:rsidRPr="00E262FB" w:rsidRDefault="00E262FB" w:rsidP="00E262FB">
      <w:pPr>
        <w:spacing w:line="360" w:lineRule="auto"/>
        <w:rPr>
          <w:szCs w:val="24"/>
          <w:lang w:val="en-DE"/>
        </w:rPr>
      </w:pPr>
      <w:r w:rsidRPr="00E262FB">
        <w:rPr>
          <w:szCs w:val="24"/>
          <w:lang w:val="en-DE"/>
        </w:rPr>
        <w:t xml:space="preserve">In monkey visual cortex during movie presentation multi unit activity was correlated with </w:t>
      </w:r>
      <w:proofErr w:type="spellStart"/>
      <w:r w:rsidRPr="00E262FB">
        <w:rPr>
          <w:szCs w:val="24"/>
          <w:lang w:val="en-DE"/>
        </w:rPr>
        <w:t>gammaband</w:t>
      </w:r>
      <w:proofErr w:type="spellEnd"/>
      <w:r w:rsidRPr="00E262FB">
        <w:rPr>
          <w:szCs w:val="24"/>
          <w:lang w:val="en-DE"/>
        </w:rPr>
        <w:t xml:space="preserve"> power (30-100hz), but </w:t>
      </w:r>
      <w:proofErr w:type="spellStart"/>
      <w:r w:rsidRPr="00E262FB">
        <w:rPr>
          <w:szCs w:val="24"/>
          <w:lang w:val="en-DE"/>
        </w:rPr>
        <w:t>specififcally</w:t>
      </w:r>
      <w:proofErr w:type="spellEnd"/>
      <w:r w:rsidRPr="00E262FB">
        <w:rPr>
          <w:szCs w:val="24"/>
          <w:lang w:val="en-DE"/>
        </w:rPr>
        <w:t xml:space="preserve"> during the negative going phase of the delta wave (2-4hz) (10.1016/j.neuron.2009.08.016)</w:t>
      </w:r>
    </w:p>
    <w:p w14:paraId="3231AB39" w14:textId="77777777" w:rsidR="00E262FB" w:rsidRPr="00E262FB" w:rsidRDefault="00E262FB" w:rsidP="00E262FB">
      <w:pPr>
        <w:spacing w:line="360" w:lineRule="auto"/>
        <w:rPr>
          <w:szCs w:val="24"/>
          <w:lang w:val="en-DE"/>
        </w:rPr>
      </w:pPr>
    </w:p>
    <w:p w14:paraId="368270BD" w14:textId="77777777" w:rsidR="00E262FB" w:rsidRPr="00E262FB" w:rsidRDefault="00E262FB" w:rsidP="00E262FB">
      <w:pPr>
        <w:spacing w:line="360" w:lineRule="auto"/>
        <w:rPr>
          <w:szCs w:val="24"/>
          <w:lang w:val="en-DE"/>
        </w:rPr>
      </w:pPr>
      <w:r w:rsidRPr="00E262FB">
        <w:rPr>
          <w:szCs w:val="24"/>
          <w:lang w:val="en-DE"/>
        </w:rPr>
        <w:lastRenderedPageBreak/>
        <w:t>10.1126/sciadv.abb0977</w:t>
      </w:r>
    </w:p>
    <w:p w14:paraId="452BE3FE" w14:textId="77777777" w:rsidR="00E262FB" w:rsidRPr="00E262FB" w:rsidRDefault="00E262FB" w:rsidP="00E262FB">
      <w:pPr>
        <w:spacing w:line="360" w:lineRule="auto"/>
        <w:rPr>
          <w:szCs w:val="24"/>
          <w:lang w:val="en-DE"/>
        </w:rPr>
      </w:pPr>
      <w:r w:rsidRPr="00E262FB">
        <w:rPr>
          <w:szCs w:val="24"/>
          <w:lang w:val="en-DE"/>
        </w:rPr>
        <w:t>Monkey V1 and A1 laminar analysis of broadband high-frequency activity (70-150hz) influence of MUA/local neural firing.</w:t>
      </w:r>
    </w:p>
    <w:p w14:paraId="3FD65F3D" w14:textId="77777777" w:rsidR="00E262FB" w:rsidRPr="00E262FB" w:rsidRDefault="00E262FB" w:rsidP="00E262FB">
      <w:pPr>
        <w:spacing w:line="360" w:lineRule="auto"/>
        <w:rPr>
          <w:szCs w:val="24"/>
          <w:lang w:val="en-DE"/>
        </w:rPr>
      </w:pPr>
      <w:r w:rsidRPr="00E262FB">
        <w:rPr>
          <w:szCs w:val="24"/>
          <w:lang w:val="en-DE"/>
        </w:rPr>
        <w:t xml:space="preserve">Early-Deep BHA clear spatial and </w:t>
      </w:r>
      <w:proofErr w:type="spellStart"/>
      <w:r w:rsidRPr="00E262FB">
        <w:rPr>
          <w:szCs w:val="24"/>
          <w:lang w:val="en-DE"/>
        </w:rPr>
        <w:t>temporalal</w:t>
      </w:r>
      <w:proofErr w:type="spellEnd"/>
      <w:r w:rsidRPr="00E262FB">
        <w:rPr>
          <w:szCs w:val="24"/>
          <w:lang w:val="en-DE"/>
        </w:rPr>
        <w:t xml:space="preserve"> increase in MUA</w:t>
      </w:r>
    </w:p>
    <w:p w14:paraId="1E108A71" w14:textId="77777777" w:rsidR="00E262FB" w:rsidRPr="00E262FB" w:rsidRDefault="00E262FB" w:rsidP="00E262FB">
      <w:pPr>
        <w:spacing w:line="360" w:lineRule="auto"/>
        <w:rPr>
          <w:szCs w:val="24"/>
          <w:lang w:val="en-DE"/>
        </w:rPr>
      </w:pPr>
      <w:r w:rsidRPr="00E262FB">
        <w:rPr>
          <w:szCs w:val="24"/>
          <w:lang w:val="en-DE"/>
        </w:rPr>
        <w:t>Late-superficial BHA more prevalent but only had a weak association with MUA (-&gt; reflects dendritic processes)</w:t>
      </w:r>
    </w:p>
    <w:p w14:paraId="7B9BDE60" w14:textId="77777777" w:rsidR="00E262FB" w:rsidRPr="00E262FB" w:rsidRDefault="00E262FB" w:rsidP="00E262FB">
      <w:pPr>
        <w:spacing w:line="360" w:lineRule="auto"/>
        <w:rPr>
          <w:szCs w:val="24"/>
          <w:lang w:val="en-DE"/>
        </w:rPr>
      </w:pPr>
      <w:r w:rsidRPr="00E262FB">
        <w:rPr>
          <w:szCs w:val="24"/>
          <w:lang w:val="en-DE"/>
        </w:rPr>
        <w:t xml:space="preserve">While high frequency activity (70-150hz) from deeper layers in the monkey V1 and A1 cortex highly correlated with MUA, the more prevalent superficial HFA </w:t>
      </w:r>
    </w:p>
    <w:p w14:paraId="25AEF419" w14:textId="77777777" w:rsidR="00E262FB" w:rsidRPr="00E262FB" w:rsidRDefault="00E262FB" w:rsidP="00E262FB">
      <w:pPr>
        <w:spacing w:line="360" w:lineRule="auto"/>
        <w:rPr>
          <w:szCs w:val="24"/>
          <w:lang w:val="en-DE"/>
        </w:rPr>
      </w:pPr>
      <w:r w:rsidRPr="00E262FB">
        <w:rPr>
          <w:szCs w:val="24"/>
          <w:lang w:val="en-DE"/>
        </w:rPr>
        <w:t>Late-superficial BHA was more prevalent and likely represented dendritic processes rather than MUA activity.</w:t>
      </w:r>
    </w:p>
    <w:p w14:paraId="43D73A39" w14:textId="77777777" w:rsidR="00E262FB" w:rsidRPr="00E262FB" w:rsidRDefault="00E262FB" w:rsidP="00E262FB">
      <w:pPr>
        <w:spacing w:line="360" w:lineRule="auto"/>
        <w:rPr>
          <w:szCs w:val="24"/>
          <w:lang w:val="en-DE"/>
        </w:rPr>
      </w:pPr>
    </w:p>
    <w:p w14:paraId="32E18010" w14:textId="77777777" w:rsidR="00E262FB" w:rsidRPr="00E262FB" w:rsidRDefault="00E262FB" w:rsidP="00E262FB">
      <w:pPr>
        <w:spacing w:line="360" w:lineRule="auto"/>
        <w:rPr>
          <w:szCs w:val="24"/>
          <w:lang w:val="en-DE"/>
        </w:rPr>
      </w:pPr>
    </w:p>
    <w:p w14:paraId="0FFABA1C" w14:textId="77777777" w:rsidR="00E262FB" w:rsidRPr="00E262FB" w:rsidRDefault="00E262FB" w:rsidP="00E262FB">
      <w:pPr>
        <w:spacing w:line="360" w:lineRule="auto"/>
        <w:rPr>
          <w:szCs w:val="24"/>
          <w:lang w:val="en-DE"/>
        </w:rPr>
      </w:pPr>
      <w:r w:rsidRPr="00E262FB">
        <w:rPr>
          <w:szCs w:val="24"/>
          <w:lang w:val="en-DE"/>
        </w:rPr>
        <w:t>Memory encoding and retrieval led to increased gamma (50-500hz) in humans within the visual pathway and the hippocampus [doi.org/10.1093/brain/awu149]</w:t>
      </w:r>
    </w:p>
    <w:p w14:paraId="20C284EA" w14:textId="77777777" w:rsidR="00E262FB" w:rsidRPr="00E262FB" w:rsidRDefault="00E262FB" w:rsidP="00E262FB">
      <w:pPr>
        <w:spacing w:line="360" w:lineRule="auto"/>
        <w:rPr>
          <w:szCs w:val="24"/>
          <w:lang w:val="en-DE"/>
        </w:rPr>
      </w:pPr>
    </w:p>
    <w:p w14:paraId="6171B616" w14:textId="77777777" w:rsidR="00E262FB" w:rsidRPr="00E262FB" w:rsidRDefault="00E262FB" w:rsidP="00E262FB">
      <w:pPr>
        <w:spacing w:line="360" w:lineRule="auto"/>
        <w:rPr>
          <w:szCs w:val="24"/>
          <w:lang w:val="en-DE"/>
        </w:rPr>
      </w:pPr>
    </w:p>
    <w:p w14:paraId="626342DB" w14:textId="77777777" w:rsidR="00E262FB" w:rsidRPr="00E262FB" w:rsidRDefault="00E262FB" w:rsidP="00E262FB">
      <w:pPr>
        <w:spacing w:line="360" w:lineRule="auto"/>
        <w:rPr>
          <w:szCs w:val="24"/>
          <w:lang w:val="en-DE"/>
        </w:rPr>
      </w:pPr>
      <w:r w:rsidRPr="00E262FB">
        <w:rPr>
          <w:szCs w:val="24"/>
          <w:lang w:val="en-DE"/>
        </w:rPr>
        <w:t>40–130 Hz</w:t>
      </w:r>
    </w:p>
    <w:p w14:paraId="1508B5BC" w14:textId="77777777" w:rsidR="00E262FB" w:rsidRPr="00E262FB" w:rsidRDefault="00E262FB" w:rsidP="00E262FB">
      <w:pPr>
        <w:spacing w:line="360" w:lineRule="auto"/>
        <w:rPr>
          <w:szCs w:val="24"/>
          <w:lang w:val="en-DE"/>
        </w:rPr>
      </w:pPr>
      <w:r w:rsidRPr="00E262FB">
        <w:rPr>
          <w:szCs w:val="24"/>
          <w:lang w:val="en-DE"/>
        </w:rPr>
        <w:t xml:space="preserve">Neural firing rate increases was associated with  a higher gamma (40-130hz) </w:t>
      </w:r>
      <w:proofErr w:type="spellStart"/>
      <w:r w:rsidRPr="00E262FB">
        <w:rPr>
          <w:szCs w:val="24"/>
          <w:lang w:val="en-DE"/>
        </w:rPr>
        <w:t>lfp</w:t>
      </w:r>
      <w:proofErr w:type="spellEnd"/>
      <w:r w:rsidRPr="00E262FB">
        <w:rPr>
          <w:szCs w:val="24"/>
          <w:lang w:val="en-DE"/>
        </w:rPr>
        <w:t xml:space="preserve"> power in the auditory cortex (doi.org/10.1016/j.cub.2007.06.066). This relationship was higher when the recorded neurons firing was anticorrelated. However this study contained a small sample of three human subjects (59 neurons).</w:t>
      </w:r>
    </w:p>
    <w:p w14:paraId="0A30AF89" w14:textId="77777777" w:rsidR="00E262FB" w:rsidRPr="00E262FB" w:rsidRDefault="00E262FB" w:rsidP="00E262FB">
      <w:pPr>
        <w:spacing w:line="360" w:lineRule="auto"/>
        <w:rPr>
          <w:szCs w:val="24"/>
          <w:lang w:val="en-DE"/>
        </w:rPr>
      </w:pPr>
    </w:p>
    <w:p w14:paraId="08CAE421" w14:textId="77777777" w:rsidR="00E262FB" w:rsidRPr="00E262FB" w:rsidRDefault="00E262FB" w:rsidP="00E262FB">
      <w:pPr>
        <w:spacing w:line="360" w:lineRule="auto"/>
        <w:rPr>
          <w:szCs w:val="24"/>
          <w:lang w:val="en-DE"/>
        </w:rPr>
      </w:pPr>
    </w:p>
    <w:p w14:paraId="6A9E72CB" w14:textId="77777777" w:rsidR="00E262FB" w:rsidRPr="00E262FB" w:rsidRDefault="00E262FB" w:rsidP="00E262FB">
      <w:pPr>
        <w:spacing w:line="360" w:lineRule="auto"/>
        <w:rPr>
          <w:szCs w:val="24"/>
          <w:lang w:val="en-DE"/>
        </w:rPr>
      </w:pPr>
      <w:r w:rsidRPr="00E262FB">
        <w:rPr>
          <w:szCs w:val="24"/>
          <w:lang w:val="en-DE"/>
        </w:rPr>
        <w:t xml:space="preserve">doi.org/10.1038/nrn3241: </w:t>
      </w:r>
      <w:proofErr w:type="spellStart"/>
      <w:r w:rsidRPr="00E262FB">
        <w:rPr>
          <w:szCs w:val="24"/>
          <w:lang w:val="en-DE"/>
        </w:rPr>
        <w:t>buzsaki</w:t>
      </w:r>
      <w:proofErr w:type="spellEnd"/>
      <w:r w:rsidRPr="00E262FB">
        <w:rPr>
          <w:szCs w:val="24"/>
          <w:lang w:val="en-DE"/>
        </w:rPr>
        <w:t xml:space="preserve"> paper</w:t>
      </w:r>
    </w:p>
    <w:p w14:paraId="5BA6C769" w14:textId="77777777" w:rsidR="00E262FB" w:rsidRPr="00E262FB" w:rsidRDefault="00E262FB" w:rsidP="00E262FB">
      <w:pPr>
        <w:spacing w:line="360" w:lineRule="auto"/>
        <w:rPr>
          <w:szCs w:val="24"/>
          <w:lang w:val="en-DE"/>
        </w:rPr>
      </w:pPr>
      <w:r w:rsidRPr="00E262FB">
        <w:rPr>
          <w:szCs w:val="24"/>
          <w:lang w:val="en-DE"/>
        </w:rPr>
        <w:t xml:space="preserve">"Thus, increased power in the higher-frequency bands can be regarded as an index of spiking synchrony." </w:t>
      </w:r>
    </w:p>
    <w:p w14:paraId="283CF60A" w14:textId="77777777" w:rsidR="00E262FB" w:rsidRPr="00E262FB" w:rsidRDefault="00E262FB" w:rsidP="00E262FB">
      <w:pPr>
        <w:spacing w:line="360" w:lineRule="auto"/>
        <w:rPr>
          <w:szCs w:val="24"/>
          <w:lang w:val="en-DE"/>
        </w:rPr>
      </w:pPr>
      <w:r w:rsidRPr="00E262FB">
        <w:rPr>
          <w:szCs w:val="24"/>
          <w:lang w:val="en-DE"/>
        </w:rPr>
        <w:t>"high-frequency LFP power can provide a 'proxy' for the assessment of neuronal outputs"</w:t>
      </w:r>
    </w:p>
    <w:p w14:paraId="45B7B0E1" w14:textId="77777777" w:rsidR="00E262FB" w:rsidRPr="00E262FB" w:rsidRDefault="00E262FB" w:rsidP="00E262FB">
      <w:pPr>
        <w:spacing w:line="360" w:lineRule="auto"/>
        <w:rPr>
          <w:szCs w:val="24"/>
          <w:lang w:val="en-DE"/>
        </w:rPr>
      </w:pPr>
      <w:r w:rsidRPr="00E262FB">
        <w:rPr>
          <w:szCs w:val="24"/>
          <w:lang w:val="en-DE"/>
        </w:rPr>
        <w:t>"The 'mesoscopic' information provided by the high-frequency band of the LFP is therefore an important link between the macroscopic-level EEG and the microscopic-level spiking activity of neuronal assemblies."</w:t>
      </w:r>
    </w:p>
    <w:p w14:paraId="33097A03" w14:textId="77777777" w:rsidR="00E262FB" w:rsidRPr="00E262FB" w:rsidRDefault="00E262FB" w:rsidP="00E262FB">
      <w:pPr>
        <w:spacing w:line="360" w:lineRule="auto"/>
        <w:rPr>
          <w:szCs w:val="24"/>
          <w:lang w:val="en-DE"/>
        </w:rPr>
      </w:pPr>
    </w:p>
    <w:p w14:paraId="0D9A8981" w14:textId="77777777" w:rsidR="00E262FB" w:rsidRPr="00E262FB" w:rsidRDefault="00E262FB" w:rsidP="00E262FB">
      <w:pPr>
        <w:spacing w:line="360" w:lineRule="auto"/>
        <w:rPr>
          <w:szCs w:val="24"/>
          <w:lang w:val="en-DE"/>
        </w:rPr>
      </w:pPr>
    </w:p>
    <w:p w14:paraId="7C99C71E" w14:textId="77777777" w:rsidR="00E262FB" w:rsidRPr="00E262FB" w:rsidRDefault="00E262FB" w:rsidP="00E262FB">
      <w:pPr>
        <w:spacing w:line="360" w:lineRule="auto"/>
        <w:rPr>
          <w:szCs w:val="24"/>
          <w:lang w:val="en-DE"/>
        </w:rPr>
      </w:pPr>
      <w:r w:rsidRPr="00E262FB">
        <w:rPr>
          <w:szCs w:val="24"/>
          <w:lang w:val="en-DE"/>
        </w:rPr>
        <w:t xml:space="preserve">Most of these findings originate in early sensory processing areas with a </w:t>
      </w:r>
      <w:proofErr w:type="spellStart"/>
      <w:r w:rsidRPr="00E262FB">
        <w:rPr>
          <w:szCs w:val="24"/>
          <w:lang w:val="en-DE"/>
        </w:rPr>
        <w:t>sensorotopic</w:t>
      </w:r>
      <w:proofErr w:type="spellEnd"/>
      <w:r w:rsidRPr="00E262FB">
        <w:rPr>
          <w:szCs w:val="24"/>
          <w:lang w:val="en-DE"/>
        </w:rPr>
        <w:t xml:space="preserve"> structure. In contrast </w:t>
      </w:r>
      <w:proofErr w:type="spellStart"/>
      <w:r w:rsidRPr="00E262FB">
        <w:rPr>
          <w:szCs w:val="24"/>
          <w:lang w:val="en-DE"/>
        </w:rPr>
        <w:t>neighboring</w:t>
      </w:r>
      <w:proofErr w:type="spellEnd"/>
      <w:r w:rsidRPr="00E262FB">
        <w:rPr>
          <w:szCs w:val="24"/>
          <w:lang w:val="en-DE"/>
        </w:rPr>
        <w:t xml:space="preserve"> neurons in the hippocampus represent vastly different things (Rodrigo paper). </w:t>
      </w:r>
    </w:p>
    <w:p w14:paraId="6C2840DC" w14:textId="3278BF03" w:rsidR="00E262FB" w:rsidRPr="00635CAB" w:rsidRDefault="00E262FB" w:rsidP="00E262FB">
      <w:pPr>
        <w:spacing w:line="360" w:lineRule="auto"/>
        <w:rPr>
          <w:szCs w:val="24"/>
          <w:lang w:val="en-DE"/>
        </w:rPr>
      </w:pPr>
      <w:r w:rsidRPr="00E262FB">
        <w:rPr>
          <w:szCs w:val="24"/>
          <w:lang w:val="en-DE"/>
        </w:rPr>
        <w:lastRenderedPageBreak/>
        <w:t>Because of this it is conceivable that the relation between HFA and neural firing does not extend to the hippocampus (however, see Manning that and the other hippocampus paper)</w:t>
      </w:r>
    </w:p>
    <w:p w14:paraId="1989DA03" w14:textId="0F2768AF" w:rsidR="00B66183" w:rsidRDefault="00B66183" w:rsidP="001840C2">
      <w:pPr>
        <w:pStyle w:val="SMHeading"/>
        <w:spacing w:line="360" w:lineRule="auto"/>
        <w:rPr>
          <w:lang w:val="en-DE"/>
        </w:rPr>
      </w:pPr>
      <w:r>
        <w:rPr>
          <w:lang w:val="en-DE"/>
        </w:rPr>
        <w:t>Results</w:t>
      </w:r>
    </w:p>
    <w:p w14:paraId="5F9E1799" w14:textId="77777777" w:rsidR="00B66183" w:rsidRDefault="00B66183" w:rsidP="00B66183">
      <w:pPr>
        <w:rPr>
          <w:lang w:val="en-DE"/>
        </w:rPr>
      </w:pPr>
    </w:p>
    <w:p w14:paraId="3E78A497" w14:textId="77777777" w:rsidR="00B66183" w:rsidRDefault="00B66183" w:rsidP="00B66183">
      <w:pPr>
        <w:rPr>
          <w:lang w:val="en-DE"/>
        </w:rPr>
      </w:pPr>
    </w:p>
    <w:p w14:paraId="3435DCDF" w14:textId="77777777" w:rsidR="00B66183" w:rsidRDefault="00B66183" w:rsidP="00B66183">
      <w:pPr>
        <w:rPr>
          <w:lang w:val="en-DE"/>
        </w:rPr>
      </w:pPr>
    </w:p>
    <w:p w14:paraId="3F3CE7B2" w14:textId="77777777" w:rsidR="00B66183" w:rsidRDefault="00B66183" w:rsidP="001840C2">
      <w:pPr>
        <w:pStyle w:val="SMHeading"/>
        <w:spacing w:line="360" w:lineRule="auto"/>
        <w:rPr>
          <w:lang w:val="en-DE"/>
        </w:rPr>
      </w:pPr>
    </w:p>
    <w:p w14:paraId="5E5F4C0D" w14:textId="116733DA" w:rsidR="00766E9E" w:rsidRDefault="00B66183" w:rsidP="001840C2">
      <w:pPr>
        <w:pStyle w:val="SMHeading"/>
        <w:spacing w:line="360" w:lineRule="auto"/>
      </w:pPr>
      <w:r>
        <w:rPr>
          <w:noProof/>
        </w:rPr>
        <w:drawing>
          <wp:inline distT="0" distB="0" distL="0" distR="0" wp14:anchorId="5EAD63D3" wp14:editId="1E9343AA">
            <wp:extent cx="4589053" cy="2584475"/>
            <wp:effectExtent l="0" t="0" r="2540" b="635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925" t="3726" r="8793" b="3785"/>
                    <a:stretch/>
                  </pic:blipFill>
                  <pic:spPr bwMode="auto">
                    <a:xfrm>
                      <a:off x="0" y="0"/>
                      <a:ext cx="4590589" cy="2585340"/>
                    </a:xfrm>
                    <a:prstGeom prst="rect">
                      <a:avLst/>
                    </a:prstGeom>
                    <a:noFill/>
                    <a:ln>
                      <a:noFill/>
                    </a:ln>
                    <a:extLst>
                      <a:ext uri="{53640926-AAD7-44D8-BBD7-CCE9431645EC}">
                        <a14:shadowObscured xmlns:a14="http://schemas.microsoft.com/office/drawing/2010/main"/>
                      </a:ext>
                    </a:extLst>
                  </pic:spPr>
                </pic:pic>
              </a:graphicData>
            </a:graphic>
          </wp:inline>
        </w:drawing>
      </w:r>
    </w:p>
    <w:p w14:paraId="73C94927" w14:textId="73BE1602" w:rsidR="008332EB" w:rsidRPr="001840C2" w:rsidRDefault="008332EB" w:rsidP="001840C2">
      <w:pPr>
        <w:pStyle w:val="SMHeading"/>
        <w:spacing w:line="360" w:lineRule="auto"/>
      </w:pPr>
      <w:r w:rsidRPr="001840C2">
        <w:t>Materials and Methods</w:t>
      </w:r>
    </w:p>
    <w:p w14:paraId="0C085B93" w14:textId="5EA0C3A7" w:rsidR="008332EB" w:rsidRPr="001840C2" w:rsidRDefault="008332EB" w:rsidP="001840C2">
      <w:pPr>
        <w:pStyle w:val="SMSubheading"/>
        <w:spacing w:line="360" w:lineRule="auto"/>
        <w:rPr>
          <w:szCs w:val="24"/>
          <w:u w:val="single"/>
          <w:lang w:val="en-DE"/>
        </w:rPr>
      </w:pPr>
      <w:r w:rsidRPr="001840C2">
        <w:rPr>
          <w:szCs w:val="24"/>
          <w:u w:val="single"/>
        </w:rPr>
        <w:t>Procedure of memory experiment 1</w:t>
      </w:r>
      <w:r w:rsidRPr="001840C2">
        <w:rPr>
          <w:szCs w:val="24"/>
          <w:u w:val="single"/>
          <w:lang w:val="en-DE"/>
        </w:rPr>
        <w:t xml:space="preserve"> and experiment 2</w:t>
      </w:r>
    </w:p>
    <w:p w14:paraId="7848BB91" w14:textId="7D40E72F"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1992F2A0" w14:textId="77777777" w:rsidR="008332EB" w:rsidRPr="001840C2" w:rsidRDefault="008332EB" w:rsidP="001840C2">
      <w:pPr>
        <w:pStyle w:val="SMText"/>
        <w:spacing w:line="360" w:lineRule="auto"/>
        <w:ind w:firstLine="0"/>
        <w:rPr>
          <w:szCs w:val="24"/>
        </w:rPr>
      </w:pPr>
    </w:p>
    <w:p w14:paraId="07C46568" w14:textId="782A742C" w:rsidR="008332EB" w:rsidRPr="001840C2" w:rsidRDefault="008332EB" w:rsidP="001840C2">
      <w:pPr>
        <w:pStyle w:val="SMText"/>
        <w:spacing w:line="360" w:lineRule="auto"/>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1472F8D6" w14:textId="77777777" w:rsidR="008332EB" w:rsidRPr="001840C2" w:rsidRDefault="008332EB" w:rsidP="001840C2">
      <w:pPr>
        <w:pStyle w:val="SMText"/>
        <w:spacing w:line="360" w:lineRule="auto"/>
        <w:rPr>
          <w:szCs w:val="24"/>
          <w:lang w:val="en-GB"/>
        </w:rPr>
      </w:pPr>
    </w:p>
    <w:p w14:paraId="2DABBB0A" w14:textId="0F06DB30" w:rsidR="008332EB" w:rsidRPr="001840C2" w:rsidRDefault="008332EB" w:rsidP="001840C2">
      <w:pPr>
        <w:pStyle w:val="SMText"/>
        <w:spacing w:line="360" w:lineRule="auto"/>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2437D7B9" w14:textId="77777777" w:rsidR="008332EB" w:rsidRPr="001840C2" w:rsidRDefault="008332EB" w:rsidP="001840C2">
      <w:pPr>
        <w:pStyle w:val="SMText"/>
        <w:spacing w:line="360" w:lineRule="auto"/>
        <w:ind w:firstLine="0"/>
        <w:rPr>
          <w:szCs w:val="24"/>
          <w:lang w:val="en-DE"/>
        </w:rPr>
      </w:pPr>
    </w:p>
    <w:p w14:paraId="30333092" w14:textId="77777777" w:rsidR="008332EB" w:rsidRPr="001840C2" w:rsidRDefault="008332EB" w:rsidP="001840C2">
      <w:pPr>
        <w:pStyle w:val="SMText"/>
        <w:spacing w:line="360" w:lineRule="auto"/>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spacing w:line="360" w:lineRule="auto"/>
        <w:ind w:firstLine="0"/>
        <w:rPr>
          <w:b/>
          <w:szCs w:val="24"/>
          <w:lang w:val="en-DE"/>
        </w:rPr>
      </w:pPr>
      <w:r w:rsidRPr="001840C2">
        <w:rPr>
          <w:szCs w:val="24"/>
          <w:lang w:val="en-DE"/>
        </w:rPr>
        <w:t>See Above</w:t>
      </w:r>
      <w:r w:rsidR="00CD7717" w:rsidRPr="001840C2">
        <w:rPr>
          <w:szCs w:val="24"/>
          <w:lang w:val="en-DE"/>
        </w:rPr>
        <w:t>.</w:t>
      </w:r>
    </w:p>
    <w:p w14:paraId="5B6CEF72" w14:textId="77777777" w:rsidR="001840C2" w:rsidRPr="001840C2" w:rsidRDefault="001840C2" w:rsidP="001840C2">
      <w:pPr>
        <w:pStyle w:val="SMText"/>
        <w:spacing w:line="360" w:lineRule="auto"/>
        <w:ind w:firstLine="0"/>
        <w:rPr>
          <w:b/>
          <w:szCs w:val="24"/>
          <w:lang w:val="en-DE"/>
        </w:rPr>
      </w:pPr>
    </w:p>
    <w:p w14:paraId="3FB8FADE" w14:textId="4F97E098" w:rsidR="008332EB" w:rsidRPr="001840C2" w:rsidRDefault="008332EB" w:rsidP="001840C2">
      <w:pPr>
        <w:pStyle w:val="SMText"/>
        <w:spacing w:line="360" w:lineRule="auto"/>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spacing w:line="360" w:lineRule="auto"/>
        <w:ind w:firstLine="0"/>
        <w:rPr>
          <w:szCs w:val="24"/>
          <w:lang w:val="en-DE"/>
        </w:rPr>
      </w:pPr>
      <w:r w:rsidRPr="001840C2">
        <w:rPr>
          <w:szCs w:val="24"/>
          <w:lang w:val="en-DE"/>
        </w:rPr>
        <w:t>See Above</w:t>
      </w:r>
      <w:r w:rsidR="00CD7717" w:rsidRPr="001840C2">
        <w:rPr>
          <w:szCs w:val="24"/>
          <w:lang w:val="en-DE"/>
        </w:rPr>
        <w:t>.</w:t>
      </w:r>
    </w:p>
    <w:p w14:paraId="678C144D" w14:textId="77777777" w:rsidR="008332EB" w:rsidRPr="001840C2" w:rsidRDefault="008332EB" w:rsidP="001840C2">
      <w:pPr>
        <w:pStyle w:val="SMText"/>
        <w:spacing w:line="360" w:lineRule="auto"/>
        <w:ind w:firstLine="0"/>
        <w:rPr>
          <w:szCs w:val="24"/>
          <w:lang w:val="en-GB"/>
        </w:rPr>
      </w:pPr>
    </w:p>
    <w:p w14:paraId="03F3CDE1" w14:textId="77777777" w:rsidR="008332EB" w:rsidRPr="001840C2" w:rsidRDefault="008332EB" w:rsidP="001840C2">
      <w:pPr>
        <w:pStyle w:val="SMText"/>
        <w:spacing w:line="360" w:lineRule="auto"/>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spacing w:line="360" w:lineRule="auto"/>
        <w:ind w:firstLine="0"/>
        <w:rPr>
          <w:szCs w:val="24"/>
          <w:lang w:val="en-DE"/>
        </w:rPr>
      </w:pPr>
      <w:r w:rsidRPr="001840C2">
        <w:rPr>
          <w:szCs w:val="24"/>
          <w:lang w:val="en-DE"/>
        </w:rPr>
        <w:lastRenderedPageBreak/>
        <w:t>See above</w:t>
      </w:r>
      <w:r w:rsidR="00CD7717" w:rsidRPr="001840C2">
        <w:rPr>
          <w:szCs w:val="24"/>
          <w:lang w:val="en-DE"/>
        </w:rPr>
        <w:t>.</w:t>
      </w:r>
    </w:p>
    <w:p w14:paraId="093D4D81" w14:textId="0FD2F282" w:rsidR="008332EB" w:rsidRPr="001840C2" w:rsidRDefault="008332EB" w:rsidP="001840C2">
      <w:pPr>
        <w:pStyle w:val="SMText"/>
        <w:spacing w:line="360" w:lineRule="auto"/>
        <w:ind w:firstLine="0"/>
        <w:rPr>
          <w:szCs w:val="24"/>
          <w:lang w:val="en-DE"/>
        </w:rPr>
      </w:pPr>
    </w:p>
    <w:p w14:paraId="74AA2AFA" w14:textId="77777777" w:rsidR="008332EB" w:rsidRPr="001840C2" w:rsidRDefault="008332EB" w:rsidP="001840C2">
      <w:pPr>
        <w:pStyle w:val="SMText"/>
        <w:spacing w:line="360" w:lineRule="auto"/>
        <w:ind w:firstLine="0"/>
        <w:rPr>
          <w:szCs w:val="24"/>
          <w:u w:val="single"/>
          <w:lang w:val="en-GB"/>
        </w:rPr>
      </w:pPr>
      <w:r w:rsidRPr="001840C2">
        <w:rPr>
          <w:szCs w:val="24"/>
          <w:u w:val="single"/>
          <w:lang w:val="en-GB"/>
        </w:rPr>
        <w:t>Statistical analysis</w:t>
      </w:r>
    </w:p>
    <w:p w14:paraId="2AAE1D63" w14:textId="7D2ADD39" w:rsidR="008332EB" w:rsidRPr="001840C2" w:rsidRDefault="008332EB" w:rsidP="001840C2">
      <w:pPr>
        <w:pStyle w:val="SMText"/>
        <w:spacing w:line="360" w:lineRule="auto"/>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lang w:val="en-DE"/>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spacing w:line="360" w:lineRule="auto"/>
        <w:ind w:firstLine="0"/>
        <w:rPr>
          <w:szCs w:val="24"/>
          <w:lang w:val="en-GB"/>
        </w:rPr>
      </w:pPr>
    </w:p>
    <w:p w14:paraId="2C6BD06D" w14:textId="77777777" w:rsidR="008332EB" w:rsidRPr="001840C2" w:rsidRDefault="008332EB" w:rsidP="001840C2">
      <w:pPr>
        <w:pStyle w:val="SMText"/>
        <w:spacing w:line="360" w:lineRule="auto"/>
        <w:ind w:firstLine="0"/>
        <w:rPr>
          <w:szCs w:val="24"/>
          <w:u w:val="single"/>
          <w:lang w:val="en-GB"/>
        </w:rPr>
      </w:pPr>
      <w:r w:rsidRPr="001840C2">
        <w:rPr>
          <w:szCs w:val="24"/>
          <w:u w:val="single"/>
          <w:lang w:val="en-GB"/>
        </w:rPr>
        <w:t>Identification of Episode Specific Neurons (ESNs)</w:t>
      </w:r>
    </w:p>
    <w:p w14:paraId="52ABE642" w14:textId="352612CA" w:rsidR="003130CD" w:rsidRPr="001840C2" w:rsidRDefault="00CD7717" w:rsidP="001840C2">
      <w:pPr>
        <w:pStyle w:val="SMText"/>
        <w:spacing w:line="360" w:lineRule="auto"/>
        <w:ind w:firstLine="0"/>
        <w:rPr>
          <w:szCs w:val="24"/>
          <w:lang w:val="en-DE"/>
        </w:rPr>
      </w:pPr>
      <w:r w:rsidRPr="001840C2">
        <w:rPr>
          <w:szCs w:val="24"/>
          <w:lang w:val="en-DE"/>
        </w:rPr>
        <w:t>See above.</w:t>
      </w:r>
    </w:p>
    <w:p w14:paraId="779B73F7" w14:textId="21BCAF96" w:rsidR="00CD7717" w:rsidRPr="001840C2" w:rsidRDefault="00CD7717" w:rsidP="001840C2">
      <w:pPr>
        <w:pStyle w:val="SMText"/>
        <w:spacing w:line="360" w:lineRule="auto"/>
        <w:ind w:firstLine="0"/>
        <w:rPr>
          <w:szCs w:val="24"/>
          <w:lang w:val="en-GB"/>
        </w:rPr>
      </w:pPr>
    </w:p>
    <w:p w14:paraId="3E8C1ABC" w14:textId="77777777" w:rsidR="00CD7717" w:rsidRPr="001840C2" w:rsidRDefault="00CD7717" w:rsidP="001840C2">
      <w:pPr>
        <w:pStyle w:val="SMSubheading"/>
        <w:spacing w:line="360" w:lineRule="auto"/>
        <w:rPr>
          <w:szCs w:val="24"/>
          <w:lang w:val="en-GB"/>
        </w:rPr>
      </w:pPr>
      <w:commentRangeStart w:id="0"/>
      <w:r w:rsidRPr="001840C2">
        <w:rPr>
          <w:szCs w:val="24"/>
          <w:u w:val="single"/>
          <w:lang w:val="en-DE"/>
        </w:rPr>
        <w:t xml:space="preserve">LFP </w:t>
      </w:r>
      <w:proofErr w:type="spellStart"/>
      <w:r w:rsidRPr="001840C2">
        <w:rPr>
          <w:szCs w:val="24"/>
          <w:u w:val="single"/>
          <w:lang w:val="en-GB"/>
        </w:rPr>
        <w:t>Preprocess</w:t>
      </w:r>
      <w:r w:rsidRPr="001840C2">
        <w:rPr>
          <w:szCs w:val="24"/>
          <w:lang w:val="en-GB"/>
        </w:rPr>
        <w:t>ing</w:t>
      </w:r>
      <w:proofErr w:type="spellEnd"/>
    </w:p>
    <w:p w14:paraId="7794C827" w14:textId="5579D924" w:rsidR="00CD7717" w:rsidRPr="001840C2" w:rsidRDefault="00CD7717" w:rsidP="001840C2">
      <w:pPr>
        <w:pStyle w:val="SMText"/>
        <w:spacing w:line="360" w:lineRule="auto"/>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w:t>
      </w:r>
      <w:proofErr w:type="spellStart"/>
      <w:r w:rsidRPr="001840C2">
        <w:rPr>
          <w:szCs w:val="24"/>
          <w:lang w:val="en-GB"/>
        </w:rPr>
        <w:t>bandstop</w:t>
      </w:r>
      <w:proofErr w:type="spellEnd"/>
      <w:r w:rsidRPr="001840C2">
        <w:rPr>
          <w:szCs w:val="24"/>
          <w:lang w:val="en-GB"/>
        </w:rPr>
        <w:t xml:space="preserve"> filter with a centre frequency of 50 Hz (+-1 Hz) and its harmonics up to 300 Hz, to remove line noise.</w:t>
      </w:r>
    </w:p>
    <w:p w14:paraId="21CF7CA0" w14:textId="77777777" w:rsidR="00CD7717" w:rsidRPr="001840C2" w:rsidRDefault="00CD7717" w:rsidP="001840C2">
      <w:pPr>
        <w:pStyle w:val="SMText"/>
        <w:spacing w:line="360" w:lineRule="auto"/>
        <w:rPr>
          <w:szCs w:val="24"/>
          <w:lang w:val="en-GB"/>
        </w:rPr>
      </w:pPr>
    </w:p>
    <w:p w14:paraId="2FECD4BA" w14:textId="23709BF3" w:rsidR="00CD7717" w:rsidRPr="001840C2" w:rsidRDefault="00CD7717" w:rsidP="001840C2">
      <w:pPr>
        <w:pStyle w:val="SMSubheading"/>
        <w:spacing w:line="360" w:lineRule="auto"/>
        <w:rPr>
          <w:szCs w:val="24"/>
          <w:u w:val="single"/>
          <w:lang w:val="en-GB"/>
        </w:rPr>
      </w:pPr>
      <w:r w:rsidRPr="001840C2">
        <w:rPr>
          <w:szCs w:val="24"/>
          <w:u w:val="single"/>
          <w:lang w:val="en-DE"/>
        </w:rPr>
        <w:t xml:space="preserve">LFP </w:t>
      </w:r>
      <w:r w:rsidRPr="001840C2">
        <w:rPr>
          <w:szCs w:val="24"/>
          <w:u w:val="single"/>
          <w:lang w:val="en-GB"/>
        </w:rPr>
        <w:t>Artefact Rejection</w:t>
      </w:r>
    </w:p>
    <w:p w14:paraId="2BA9ABCE" w14:textId="378D4484" w:rsidR="00CD7717" w:rsidRPr="001840C2" w:rsidRDefault="00CD7717" w:rsidP="001840C2">
      <w:pPr>
        <w:pStyle w:val="SMText"/>
        <w:spacing w:line="360" w:lineRule="auto"/>
        <w:rPr>
          <w:szCs w:val="24"/>
          <w:lang w:val="en-GB"/>
        </w:rPr>
      </w:pPr>
      <w:r w:rsidRPr="001840C2">
        <w:rPr>
          <w:szCs w:val="24"/>
          <w:lang w:val="en-GB"/>
        </w:rPr>
        <w:t xml:space="preserve">For each microwire, we computed the bandpass-filtered signal between 70 Hz and 150 Hz using a first-order Butterworth filter. We identified any data points exceeding five standard deviations from the mean of this signal as </w:t>
      </w:r>
      <w:r w:rsidR="0096480F" w:rsidRPr="001840C2">
        <w:rPr>
          <w:szCs w:val="24"/>
          <w:lang w:val="en-GB"/>
        </w:rPr>
        <w:t>artefacts and</w:t>
      </w:r>
      <w:r w:rsidRPr="001840C2">
        <w:rPr>
          <w:szCs w:val="24"/>
          <w:lang w:val="en-GB"/>
        </w:rPr>
        <w:t xml:space="preserve"> excluded the one-second intervals preceding and following them.</w:t>
      </w:r>
      <w:commentRangeEnd w:id="0"/>
      <w:r w:rsidR="003E2EE2">
        <w:rPr>
          <w:rStyle w:val="CommentReference"/>
        </w:rPr>
        <w:commentReference w:id="0"/>
      </w:r>
    </w:p>
    <w:p w14:paraId="2730B536" w14:textId="77777777" w:rsidR="00CD7717" w:rsidRPr="001840C2" w:rsidRDefault="00CD7717" w:rsidP="001840C2">
      <w:pPr>
        <w:pStyle w:val="SMText"/>
        <w:spacing w:line="360" w:lineRule="auto"/>
        <w:rPr>
          <w:szCs w:val="24"/>
          <w:lang w:val="en-GB"/>
        </w:rPr>
      </w:pPr>
    </w:p>
    <w:p w14:paraId="12A49503" w14:textId="77777777" w:rsidR="00CD7717" w:rsidRPr="001840C2" w:rsidRDefault="00CD7717" w:rsidP="001840C2">
      <w:pPr>
        <w:pStyle w:val="SMSubheading"/>
        <w:spacing w:line="360" w:lineRule="auto"/>
        <w:rPr>
          <w:szCs w:val="24"/>
          <w:u w:val="single"/>
          <w:lang w:val="en-GB"/>
        </w:rPr>
      </w:pPr>
      <w:r w:rsidRPr="001840C2">
        <w:rPr>
          <w:szCs w:val="24"/>
          <w:u w:val="single"/>
          <w:lang w:val="en-GB"/>
        </w:rPr>
        <w:t>Identification of Episode Specific Microwires (ESWs)</w:t>
      </w:r>
    </w:p>
    <w:p w14:paraId="4EF55700" w14:textId="77777777" w:rsidR="00CD7717" w:rsidRPr="001840C2" w:rsidRDefault="00CD7717" w:rsidP="001840C2">
      <w:pPr>
        <w:pStyle w:val="SMText"/>
        <w:spacing w:line="360" w:lineRule="auto"/>
        <w:rPr>
          <w:szCs w:val="24"/>
          <w:lang w:val="en-GB"/>
        </w:rPr>
      </w:pPr>
      <w:r w:rsidRPr="001840C2">
        <w:rPr>
          <w:szCs w:val="24"/>
          <w:lang w:val="en-GB"/>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70 Hz to 150 Hz in steps of 5 Hz and a width of 7 cycles, on the </w:t>
      </w:r>
      <w:proofErr w:type="spellStart"/>
      <w:r w:rsidRPr="001840C2">
        <w:rPr>
          <w:szCs w:val="24"/>
          <w:lang w:val="en-GB"/>
        </w:rPr>
        <w:t>linenoise</w:t>
      </w:r>
      <w:proofErr w:type="spellEnd"/>
      <w:r w:rsidRPr="001840C2">
        <w:rPr>
          <w:szCs w:val="24"/>
          <w:lang w:val="en-GB"/>
        </w:rPr>
        <w:t xml:space="preserve">-removed broadband signal. After removing all artefacts (see #Artefact Rejection), we computed the mean power over all frequencies. </w:t>
      </w:r>
    </w:p>
    <w:p w14:paraId="35177CB5" w14:textId="77777777" w:rsidR="00CD7717" w:rsidRPr="001840C2" w:rsidRDefault="00CD7717" w:rsidP="001840C2">
      <w:pPr>
        <w:pStyle w:val="SMText"/>
        <w:spacing w:line="360" w:lineRule="auto"/>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t>
      </w:r>
    </w:p>
    <w:p w14:paraId="61180032" w14:textId="2CAE8480" w:rsidR="00CD7717" w:rsidRPr="001840C2" w:rsidRDefault="00CD7717" w:rsidP="001840C2">
      <w:pPr>
        <w:pStyle w:val="SMText"/>
        <w:spacing w:line="360" w:lineRule="auto"/>
        <w:rPr>
          <w:szCs w:val="24"/>
          <w:lang w:val="en-GB"/>
        </w:rPr>
      </w:pPr>
      <w:r w:rsidRPr="001840C2">
        <w:rPr>
          <w:szCs w:val="24"/>
          <w:lang w:val="en-GB"/>
        </w:rPr>
        <w:t xml:space="preserve">We z-scored the remaining HFA power values independently for encoding and retrieval, and </w:t>
      </w:r>
      <w:r w:rsidR="003E2EE2">
        <w:rPr>
          <w:szCs w:val="24"/>
          <w:lang w:val="en-DE"/>
        </w:rPr>
        <w:t xml:space="preserve">afterwards </w:t>
      </w:r>
      <w:r w:rsidRPr="001840C2">
        <w:rPr>
          <w:szCs w:val="24"/>
          <w:lang w:val="en-GB"/>
        </w:rPr>
        <w:t xml:space="preserve">excluded trials not of interest (i.e., later forgotten or later remembered trials). </w:t>
      </w:r>
    </w:p>
    <w:p w14:paraId="70CC7333" w14:textId="77777777" w:rsidR="00CD7717" w:rsidRPr="001840C2" w:rsidRDefault="00CD7717" w:rsidP="001840C2">
      <w:pPr>
        <w:pStyle w:val="SMText"/>
        <w:spacing w:line="360" w:lineRule="auto"/>
        <w:rPr>
          <w:szCs w:val="24"/>
          <w:lang w:val="en-GB"/>
        </w:rPr>
      </w:pPr>
      <w:r w:rsidRPr="001840C2">
        <w:rPr>
          <w:szCs w:val="24"/>
          <w:lang w:val="en-GB"/>
        </w:rPr>
        <w:lastRenderedPageBreak/>
        <w:t xml:space="preserve">Finally, we defined the element-wise product of the encoding and retrieval standardized HFA power as a proxy for episode-specific reinstatement. </w:t>
      </w:r>
    </w:p>
    <w:p w14:paraId="6E6C6116" w14:textId="15190DDC" w:rsidR="00CD7717" w:rsidRPr="001840C2" w:rsidRDefault="00CD7717" w:rsidP="001840C2">
      <w:pPr>
        <w:pStyle w:val="SMText"/>
        <w:spacing w:line="360" w:lineRule="auto"/>
        <w:rPr>
          <w:szCs w:val="24"/>
          <w:lang w:val="en-GB"/>
        </w:rPr>
      </w:pPr>
      <w:r w:rsidRPr="001840C2">
        <w:rPr>
          <w:szCs w:val="24"/>
          <w:lang w:val="en-GB"/>
        </w:rPr>
        <w:t xml:space="preserve">In order to calculate a threshold for this episode-specific firing reinstatement we permuted the order of the encoding and retrieval episodes and recomputed the reinstatement value. We repeated this step 1,000 times and took the 99th percentile as a threshold against which we compared the empirical reinstatement value. If the empirical reinstatement exceeded the threshold </w:t>
      </w:r>
      <w:r w:rsidRPr="003E2EE2">
        <w:rPr>
          <w:color w:val="FF0000"/>
          <w:szCs w:val="24"/>
          <w:lang w:val="en-GB"/>
        </w:rPr>
        <w:t>and its standardized power at encoding and retrieval was at least 1.645 (</w:t>
      </w:r>
      <w:r w:rsidRPr="003E2EE2">
        <w:rPr>
          <w:rFonts w:ascii="Cambria Math" w:hAnsi="Cambria Math" w:cs="Cambria Math"/>
          <w:color w:val="FF0000"/>
          <w:szCs w:val="24"/>
          <w:lang w:val="en-GB"/>
        </w:rPr>
        <w:t>≙</w:t>
      </w:r>
      <w:r w:rsidRPr="003E2EE2">
        <w:rPr>
          <w:color w:val="FF0000"/>
          <w:szCs w:val="24"/>
          <w:lang w:val="en-GB"/>
        </w:rPr>
        <w:t xml:space="preserve"> </w:t>
      </w:r>
      <w:proofErr w:type="spellStart"/>
      <w:r w:rsidRPr="003E2EE2">
        <w:rPr>
          <w:color w:val="FF0000"/>
          <w:szCs w:val="24"/>
          <w:lang w:val="en-GB"/>
        </w:rPr>
        <w:t>p</w:t>
      </w:r>
      <w:r w:rsidRPr="003E2EE2">
        <w:rPr>
          <w:color w:val="FF0000"/>
          <w:szCs w:val="24"/>
          <w:vertAlign w:val="subscript"/>
          <w:lang w:val="en-GB"/>
        </w:rPr>
        <w:t>right</w:t>
      </w:r>
      <w:proofErr w:type="spellEnd"/>
      <w:r w:rsidRPr="003E2EE2">
        <w:rPr>
          <w:color w:val="FF0000"/>
          <w:szCs w:val="24"/>
          <w:vertAlign w:val="subscript"/>
          <w:lang w:val="en-GB"/>
        </w:rPr>
        <w:t>-tailed</w:t>
      </w:r>
      <w:r w:rsidRPr="003E2EE2">
        <w:rPr>
          <w:color w:val="FF0000"/>
          <w:szCs w:val="24"/>
          <w:lang w:val="en-GB"/>
        </w:rPr>
        <w:t xml:space="preserve"> &lt; 0.05)</w:t>
      </w:r>
      <w:r w:rsidRPr="001840C2">
        <w:rPr>
          <w:szCs w:val="24"/>
          <w:lang w:val="en-GB"/>
        </w:rPr>
        <w:t>, we considered this microwire an Episodic Specific Microwire (ESW). This procedure allows for thresholding</w:t>
      </w:r>
      <w:r w:rsidRPr="001840C2">
        <w:rPr>
          <w:szCs w:val="24"/>
          <w:lang w:val="en-DE"/>
        </w:rPr>
        <w:t xml:space="preserve"> </w:t>
      </w:r>
      <w:r w:rsidRPr="001840C2">
        <w:rPr>
          <w:szCs w:val="24"/>
          <w:lang w:val="en-GB"/>
        </w:rPr>
        <w:t>but does not correct for multiple comparisons on the level of a microwire.</w:t>
      </w:r>
    </w:p>
    <w:p w14:paraId="5EA8D3D9" w14:textId="381B732D" w:rsidR="00CD7717" w:rsidRPr="001840C2" w:rsidRDefault="00CD7717" w:rsidP="001840C2">
      <w:pPr>
        <w:pStyle w:val="SMText"/>
        <w:spacing w:line="360" w:lineRule="auto"/>
        <w:ind w:firstLine="0"/>
        <w:rPr>
          <w:szCs w:val="24"/>
          <w:lang w:val="en-GB"/>
        </w:rPr>
      </w:pPr>
      <w:r w:rsidRPr="001840C2">
        <w:rPr>
          <w:szCs w:val="24"/>
          <w:lang w:val="en-GB"/>
        </w:rPr>
        <w:t xml:space="preserve">To determine whether there was a significant number of microwires that showed this </w:t>
      </w:r>
      <w:r w:rsidR="0096480F" w:rsidRPr="001840C2">
        <w:rPr>
          <w:szCs w:val="24"/>
          <w:lang w:val="en-GB"/>
        </w:rPr>
        <w:t>episode</w:t>
      </w:r>
      <w:r w:rsidRPr="001840C2">
        <w:rPr>
          <w:szCs w:val="24"/>
          <w:lang w:val="en-GB"/>
        </w:rPr>
        <w:t xml:space="preserve">-specific power reinstatement, we randomly drew one of the </w:t>
      </w:r>
      <w:r w:rsidR="0096480F" w:rsidRPr="001840C2">
        <w:rPr>
          <w:szCs w:val="24"/>
          <w:lang w:val="en-GB"/>
        </w:rPr>
        <w:t>previously</w:t>
      </w:r>
      <w:r w:rsidRPr="001840C2">
        <w:rPr>
          <w:szCs w:val="24"/>
          <w:lang w:val="en-GB"/>
        </w:rPr>
        <w: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01E6915" w14:textId="0E83CD91" w:rsidR="003E2A69" w:rsidRPr="001840C2" w:rsidRDefault="003E2A69" w:rsidP="001840C2">
      <w:pPr>
        <w:pStyle w:val="SMText"/>
        <w:spacing w:line="360" w:lineRule="auto"/>
        <w:ind w:firstLine="0"/>
        <w:rPr>
          <w:szCs w:val="24"/>
          <w:lang w:val="en-GB"/>
        </w:rPr>
      </w:pPr>
      <w:r w:rsidRPr="001840C2">
        <w:rPr>
          <w:szCs w:val="24"/>
          <w:lang w:val="en-GB"/>
        </w:rPr>
        <w:t xml:space="preserve">In order to generate Figure XX, we repeated the time-frequency analysis in the range of 3 Hz and 300 Hz for all microwires that exhibited a HFB power reinstatement in at least one episode. For each ESW we calculated the mean power in the HFB during reinstated and non-reinstated episodes and then averaged the respective </w:t>
      </w:r>
      <w:r w:rsidRPr="001840C2">
        <w:rPr>
          <w:szCs w:val="24"/>
          <w:lang w:val="en-GB"/>
        </w:rPr>
        <w:t>power spectra</w:t>
      </w:r>
      <w:r w:rsidRPr="001840C2">
        <w:rPr>
          <w:szCs w:val="24"/>
          <w:lang w:val="en-GB"/>
        </w:rPr>
        <w:t xml:space="preserve"> across all ESW. To determine the statistical significance of the results, we used a cluster-based permutation test (</w:t>
      </w:r>
      <w:proofErr w:type="spellStart"/>
      <w:r w:rsidRPr="001840C2">
        <w:rPr>
          <w:szCs w:val="24"/>
          <w:lang w:val="en-GB"/>
        </w:rPr>
        <w:t>Oostendorf</w:t>
      </w:r>
      <w:proofErr w:type="spellEnd"/>
      <w:r w:rsidRPr="001840C2">
        <w:rPr>
          <w:szCs w:val="24"/>
          <w:lang w:val="en-GB"/>
        </w:rPr>
        <w:t>/</w:t>
      </w:r>
      <w:proofErr w:type="spellStart"/>
      <w:r w:rsidRPr="001840C2">
        <w:rPr>
          <w:szCs w:val="24"/>
          <w:lang w:val="en-GB"/>
        </w:rPr>
        <w:t>feld</w:t>
      </w:r>
      <w:proofErr w:type="spellEnd"/>
      <w:r w:rsidRPr="001840C2">
        <w:rPr>
          <w:szCs w:val="24"/>
          <w:lang w:val="en-GB"/>
        </w:rPr>
        <w:t xml:space="preserve"> xx).</w:t>
      </w:r>
    </w:p>
    <w:p w14:paraId="06F1C8A2" w14:textId="2AFBC736" w:rsidR="0096480F" w:rsidRPr="001840C2" w:rsidRDefault="0096480F" w:rsidP="001840C2">
      <w:pPr>
        <w:pStyle w:val="SMText"/>
        <w:spacing w:line="360" w:lineRule="auto"/>
        <w:ind w:firstLine="0"/>
        <w:rPr>
          <w:szCs w:val="24"/>
          <w:lang w:val="en-DE"/>
        </w:rPr>
      </w:pPr>
    </w:p>
    <w:p w14:paraId="168DA4A3" w14:textId="74D9FD66" w:rsidR="0096480F" w:rsidRPr="001840C2" w:rsidRDefault="0096480F" w:rsidP="001840C2">
      <w:pPr>
        <w:pStyle w:val="SMText"/>
        <w:spacing w:line="360" w:lineRule="auto"/>
        <w:ind w:firstLine="0"/>
        <w:rPr>
          <w:szCs w:val="24"/>
          <w:lang w:val="en-DE"/>
        </w:rPr>
      </w:pPr>
      <w:r w:rsidRPr="001840C2">
        <w:rPr>
          <w:szCs w:val="24"/>
          <w:lang w:val="en-DE"/>
        </w:rPr>
        <w:t xml:space="preserve">Identification of </w:t>
      </w:r>
      <w:r w:rsidR="00B948BD" w:rsidRPr="001840C2">
        <w:rPr>
          <w:szCs w:val="24"/>
          <w:lang w:val="en-DE"/>
        </w:rPr>
        <w:t xml:space="preserve">putative </w:t>
      </w:r>
      <w:r w:rsidRPr="001840C2">
        <w:rPr>
          <w:szCs w:val="24"/>
          <w:lang w:val="en-DE"/>
        </w:rPr>
        <w:t>Concept Microwires (</w:t>
      </w:r>
      <w:proofErr w:type="spellStart"/>
      <w:r w:rsidRPr="001840C2">
        <w:rPr>
          <w:szCs w:val="24"/>
          <w:lang w:val="en-DE"/>
        </w:rPr>
        <w:t>CWs</w:t>
      </w:r>
      <w:proofErr w:type="spellEnd"/>
      <w:r w:rsidRPr="001840C2">
        <w:rPr>
          <w:szCs w:val="24"/>
          <w:lang w:val="en-DE"/>
        </w:rPr>
        <w:t>)</w:t>
      </w:r>
    </w:p>
    <w:p w14:paraId="29C5614A" w14:textId="77777777" w:rsidR="00A34844" w:rsidRPr="001840C2" w:rsidRDefault="00A34844" w:rsidP="001840C2">
      <w:pPr>
        <w:pStyle w:val="SMText"/>
        <w:spacing w:line="360" w:lineRule="auto"/>
        <w:rPr>
          <w:szCs w:val="24"/>
          <w:lang w:val="en-DE"/>
        </w:rPr>
      </w:pPr>
      <w:r w:rsidRPr="001840C2">
        <w:rPr>
          <w:szCs w:val="24"/>
          <w:lang w:val="en-DE"/>
        </w:rPr>
        <w:t xml:space="preserve">We have adapted the method created by </w:t>
      </w:r>
      <w:proofErr w:type="spellStart"/>
      <w:r w:rsidRPr="001840C2">
        <w:rPr>
          <w:szCs w:val="24"/>
          <w:lang w:val="en-DE"/>
        </w:rPr>
        <w:t>Mormann</w:t>
      </w:r>
      <w:proofErr w:type="spellEnd"/>
      <w:r w:rsidRPr="001840C2">
        <w:rPr>
          <w:szCs w:val="24"/>
          <w:lang w:val="en-DE"/>
        </w:rPr>
        <w:t xml:space="preserve"> et al. (2011; 2008 xx) for detecting Concept Neurons to identify microwires whose power in the HFB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14322542" w14:textId="77777777" w:rsidR="00A34844" w:rsidRPr="001840C2" w:rsidRDefault="00A34844" w:rsidP="001840C2">
      <w:pPr>
        <w:pStyle w:val="SMText"/>
        <w:spacing w:line="360" w:lineRule="auto"/>
        <w:rPr>
          <w:szCs w:val="24"/>
          <w:lang w:val="en-DE"/>
        </w:rPr>
      </w:pPr>
      <w:r w:rsidRPr="001840C2">
        <w:rPr>
          <w:szCs w:val="24"/>
          <w:lang w:val="en-DE"/>
        </w:rPr>
        <w:t>We performed a time-frequency analysis using wavelets in the range of 70 Hz to 150 Hz (</w:t>
      </w:r>
      <w:proofErr w:type="spellStart"/>
      <w:r w:rsidRPr="001840C2">
        <w:rPr>
          <w:szCs w:val="24"/>
          <w:lang w:val="en-DE"/>
        </w:rPr>
        <w:t>stepsize</w:t>
      </w:r>
      <w:proofErr w:type="spellEnd"/>
      <w:r w:rsidRPr="001840C2">
        <w:rPr>
          <w:szCs w:val="24"/>
          <w:lang w:val="en-DE"/>
        </w:rPr>
        <w:t xml:space="preserv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t>
      </w:r>
    </w:p>
    <w:p w14:paraId="0CA40651" w14:textId="42D3FDDC" w:rsidR="0096480F" w:rsidRPr="001840C2" w:rsidRDefault="00A34844" w:rsidP="001840C2">
      <w:pPr>
        <w:pStyle w:val="SMText"/>
        <w:spacing w:line="360" w:lineRule="auto"/>
        <w:ind w:firstLine="0"/>
        <w:rPr>
          <w:szCs w:val="24"/>
          <w:lang w:val="en-DE"/>
        </w:rPr>
      </w:pPr>
      <w:r w:rsidRPr="001840C2">
        <w:rPr>
          <w:szCs w:val="24"/>
          <w:lang w:val="en-DE"/>
        </w:rPr>
        <w:lastRenderedPageBreak/>
        <w:t xml:space="preserve">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lang w:val="en-DE"/>
        </w:rPr>
        <w:t>Simes</w:t>
      </w:r>
      <w:proofErr w:type="spellEnd"/>
      <w:r w:rsidRPr="001840C2">
        <w:rPr>
          <w:szCs w:val="24"/>
          <w:lang w:val="en-DE"/>
        </w:rPr>
        <w:t>’ procedure (</w:t>
      </w:r>
      <w:proofErr w:type="spellStart"/>
      <w:r w:rsidRPr="001840C2">
        <w:rPr>
          <w:szCs w:val="24"/>
          <w:lang w:val="en-DE"/>
        </w:rPr>
        <w:t>Rødland</w:t>
      </w:r>
      <w:proofErr w:type="spellEnd"/>
      <w:r w:rsidRPr="001840C2">
        <w:rPr>
          <w:szCs w:val="24"/>
          <w:lang w:val="en-DE"/>
        </w:rPr>
        <w:t>, 2006xx).</w:t>
      </w:r>
    </w:p>
    <w:p w14:paraId="59BEB045" w14:textId="62975024" w:rsidR="005100FE" w:rsidRPr="001840C2" w:rsidRDefault="005100FE" w:rsidP="001840C2">
      <w:pPr>
        <w:pStyle w:val="SMText"/>
        <w:spacing w:line="360" w:lineRule="auto"/>
        <w:ind w:firstLine="0"/>
        <w:rPr>
          <w:szCs w:val="24"/>
          <w:lang w:val="en-DE"/>
        </w:rPr>
      </w:pPr>
    </w:p>
    <w:p w14:paraId="61EA708F" w14:textId="2CA7FE27" w:rsidR="0011376D" w:rsidRPr="001840C2" w:rsidRDefault="0011376D" w:rsidP="001840C2">
      <w:pPr>
        <w:pStyle w:val="SMText"/>
        <w:spacing w:line="360" w:lineRule="auto"/>
        <w:ind w:firstLine="0"/>
        <w:rPr>
          <w:szCs w:val="24"/>
          <w:lang w:val="en-DE"/>
        </w:rPr>
      </w:pPr>
      <w:r w:rsidRPr="001840C2">
        <w:rPr>
          <w:szCs w:val="24"/>
          <w:lang w:val="en-DE"/>
        </w:rPr>
        <w:t>%% THETA &amp; POS</w:t>
      </w:r>
    </w:p>
    <w:p w14:paraId="0452F99C" w14:textId="608BB255" w:rsidR="001840C2" w:rsidRPr="001840C2" w:rsidRDefault="00CA0F2A" w:rsidP="001840C2">
      <w:pPr>
        <w:pStyle w:val="SMText"/>
        <w:spacing w:line="360" w:lineRule="auto"/>
        <w:rPr>
          <w:szCs w:val="24"/>
          <w:lang w:val="en-DE"/>
        </w:rPr>
      </w:pPr>
      <w:r>
        <w:rPr>
          <w:szCs w:val="24"/>
          <w:lang w:val="en-DE"/>
        </w:rPr>
        <w:t>As a first step, w</w:t>
      </w:r>
      <w:r w:rsidR="003065D7" w:rsidRPr="001840C2">
        <w:rPr>
          <w:szCs w:val="24"/>
          <w:lang w:val="en-DE"/>
        </w:rPr>
        <w:t xml:space="preserve">e </w:t>
      </w:r>
      <w:proofErr w:type="spellStart"/>
      <w:r w:rsidR="003065D7" w:rsidRPr="001840C2">
        <w:rPr>
          <w:szCs w:val="24"/>
          <w:lang w:val="en-DE"/>
        </w:rPr>
        <w:t>downsampled</w:t>
      </w:r>
      <w:proofErr w:type="spellEnd"/>
      <w:r w:rsidR="003065D7" w:rsidRPr="001840C2">
        <w:rPr>
          <w:szCs w:val="24"/>
          <w:lang w:val="en-DE"/>
        </w:rPr>
        <w:t xml:space="preserve"> the </w:t>
      </w:r>
      <w:r>
        <w:rPr>
          <w:szCs w:val="24"/>
          <w:lang w:val="en-DE"/>
        </w:rPr>
        <w:t xml:space="preserve">microwire </w:t>
      </w:r>
      <w:r w:rsidR="003065D7" w:rsidRPr="001840C2">
        <w:rPr>
          <w:szCs w:val="24"/>
          <w:lang w:val="en-DE"/>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w:t>
      </w:r>
      <w:r w:rsidR="003065D7" w:rsidRPr="001840C2">
        <w:rPr>
          <w:szCs w:val="24"/>
          <w:lang w:val="en-DE"/>
        </w:rPr>
        <w:t>reason,</w:t>
      </w:r>
      <w:r w:rsidR="003065D7" w:rsidRPr="001840C2">
        <w:rPr>
          <w:szCs w:val="24"/>
          <w:lang w:val="en-DE"/>
        </w:rPr>
        <w:t xml:space="preserve"> we took into consideration all eight microwires and generated two theta components using generalized </w:t>
      </w:r>
      <w:proofErr w:type="spellStart"/>
      <w:r w:rsidR="003065D7" w:rsidRPr="001840C2">
        <w:rPr>
          <w:szCs w:val="24"/>
          <w:lang w:val="en-DE"/>
        </w:rPr>
        <w:t>eigendecomposition</w:t>
      </w:r>
      <w:proofErr w:type="spellEnd"/>
      <w:r w:rsidR="003065D7" w:rsidRPr="001840C2">
        <w:rPr>
          <w:szCs w:val="24"/>
          <w:lang w:val="en-DE"/>
        </w:rPr>
        <w:t xml:space="preserve"> (xx). </w:t>
      </w:r>
    </w:p>
    <w:p w14:paraId="3EC47820" w14:textId="77777777" w:rsidR="001840C2" w:rsidRPr="001840C2" w:rsidRDefault="001840C2" w:rsidP="001840C2">
      <w:pPr>
        <w:pStyle w:val="SMText"/>
        <w:spacing w:line="360" w:lineRule="auto"/>
        <w:rPr>
          <w:szCs w:val="24"/>
          <w:lang w:val="en-DE"/>
        </w:rPr>
      </w:pPr>
    </w:p>
    <w:p w14:paraId="384F1BEB" w14:textId="682B95F8" w:rsidR="001840C2" w:rsidRPr="001840C2" w:rsidRDefault="00CA0F2A" w:rsidP="001840C2">
      <w:pPr>
        <w:pStyle w:val="SMText"/>
        <w:spacing w:line="360" w:lineRule="auto"/>
        <w:ind w:firstLine="0"/>
        <w:rPr>
          <w:szCs w:val="24"/>
          <w:lang w:val="en-DE"/>
        </w:rPr>
      </w:pPr>
      <w:r>
        <w:rPr>
          <w:szCs w:val="24"/>
          <w:lang w:val="en-DE"/>
        </w:rPr>
        <w:t>The g</w:t>
      </w:r>
      <w:r w:rsidR="001840C2" w:rsidRPr="001840C2">
        <w:rPr>
          <w:szCs w:val="24"/>
          <w:lang w:val="en-DE"/>
        </w:rPr>
        <w:t xml:space="preserve">eneralization of the </w:t>
      </w:r>
      <w:proofErr w:type="spellStart"/>
      <w:r w:rsidR="001840C2" w:rsidRPr="001840C2">
        <w:rPr>
          <w:szCs w:val="24"/>
          <w:lang w:val="en-DE"/>
        </w:rPr>
        <w:t>eigendecomposition</w:t>
      </w:r>
      <w:proofErr w:type="spellEnd"/>
      <w:r w:rsidR="001840C2" w:rsidRPr="001840C2">
        <w:rPr>
          <w:szCs w:val="24"/>
          <w:lang w:val="en-DE"/>
        </w:rPr>
        <w:t xml:space="preserve"> extends </w:t>
      </w:r>
      <w:r>
        <w:rPr>
          <w:szCs w:val="24"/>
          <w:lang w:val="en-DE"/>
        </w:rPr>
        <w:t xml:space="preserve">the </w:t>
      </w:r>
      <w:proofErr w:type="spellStart"/>
      <w:r>
        <w:rPr>
          <w:szCs w:val="24"/>
          <w:lang w:val="en-DE"/>
        </w:rPr>
        <w:t>eigendecomposition</w:t>
      </w:r>
      <w:proofErr w:type="spellEnd"/>
      <w:r w:rsidR="001840C2" w:rsidRPr="001840C2">
        <w:rPr>
          <w:szCs w:val="24"/>
          <w:lang w:val="en-DE"/>
        </w:rPr>
        <w:t xml:space="preserve"> to </w:t>
      </w:r>
      <w:r>
        <w:rPr>
          <w:szCs w:val="24"/>
          <w:lang w:val="en-DE"/>
        </w:rPr>
        <w:t xml:space="preserve">a case with </w:t>
      </w:r>
      <w:r w:rsidR="001840C2" w:rsidRPr="001840C2">
        <w:rPr>
          <w:szCs w:val="24"/>
          <w:lang w:val="en-DE"/>
        </w:rPr>
        <w:t xml:space="preserve">two square matrices. For </w:t>
      </w:r>
      <w:r>
        <w:rPr>
          <w:szCs w:val="24"/>
          <w:lang w:val="en-DE"/>
        </w:rPr>
        <w:t>an</w:t>
      </w:r>
      <w:r w:rsidR="001840C2" w:rsidRPr="001840C2">
        <w:rPr>
          <w:szCs w:val="24"/>
          <w:lang w:val="en-DE"/>
        </w:rPr>
        <w:t xml:space="preserve"> </w:t>
      </w:r>
      <w:proofErr w:type="spellStart"/>
      <w:r w:rsidR="001840C2" w:rsidRPr="001840C2">
        <w:rPr>
          <w:szCs w:val="24"/>
          <w:lang w:val="en-DE"/>
        </w:rPr>
        <w:t>eigenvaluedecomposition</w:t>
      </w:r>
      <w:proofErr w:type="spellEnd"/>
      <w:r>
        <w:rPr>
          <w:szCs w:val="24"/>
          <w:lang w:val="en-DE"/>
        </w:rPr>
        <w:t xml:space="preserve"> with a singular square matrix</w:t>
      </w:r>
      <w:r w:rsidR="001840C2" w:rsidRPr="001840C2">
        <w:rPr>
          <w:szCs w:val="24"/>
          <w:lang w:val="en-DE"/>
        </w:rPr>
        <w:t>, the eigenvector with the highest eigenvalue accounts for the maximal variance in the underlying square matrix and is pairwise orthogonal to the other eigenvectors.</w:t>
      </w:r>
    </w:p>
    <w:p w14:paraId="4DEEE3F5" w14:textId="77777777" w:rsidR="001840C2" w:rsidRPr="001840C2" w:rsidRDefault="001840C2" w:rsidP="001840C2">
      <w:pPr>
        <w:pStyle w:val="SMText"/>
        <w:spacing w:line="360" w:lineRule="auto"/>
        <w:rPr>
          <w:szCs w:val="24"/>
          <w:lang w:val="en-DE"/>
        </w:rPr>
      </w:pPr>
    </w:p>
    <w:p w14:paraId="60AC02D2" w14:textId="0E75DB2E" w:rsidR="001840C2" w:rsidRPr="001840C2" w:rsidRDefault="00CA0F2A" w:rsidP="001840C2">
      <w:pPr>
        <w:pStyle w:val="SMText"/>
        <w:spacing w:line="360" w:lineRule="auto"/>
        <w:ind w:firstLine="0"/>
        <w:rPr>
          <w:szCs w:val="24"/>
          <w:lang w:val="en-DE"/>
        </w:rPr>
      </w:pPr>
      <w:r>
        <w:rPr>
          <w:szCs w:val="24"/>
          <w:lang w:val="en-DE"/>
        </w:rPr>
        <w:t>In contrast</w:t>
      </w:r>
      <w:r w:rsidR="001840C2" w:rsidRPr="001840C2">
        <w:rPr>
          <w:szCs w:val="24"/>
          <w:lang w:val="en-DE"/>
        </w:rPr>
        <w:t>, t</w:t>
      </w:r>
      <w:r w:rsidR="001840C2" w:rsidRPr="001840C2">
        <w:rPr>
          <w:szCs w:val="24"/>
          <w:lang w:val="en-DE"/>
        </w:rPr>
        <w:t xml:space="preserve">he eigenvector with the highest eigenvalue in a generalized </w:t>
      </w:r>
      <w:proofErr w:type="spellStart"/>
      <w:r w:rsidR="001840C2" w:rsidRPr="001840C2">
        <w:rPr>
          <w:szCs w:val="24"/>
          <w:lang w:val="en-DE"/>
        </w:rPr>
        <w:t>eigendecomposition</w:t>
      </w:r>
      <w:proofErr w:type="spellEnd"/>
      <w:r w:rsidR="001840C2" w:rsidRPr="001840C2">
        <w:rPr>
          <w:szCs w:val="24"/>
          <w:lang w:val="en-DE"/>
        </w:rPr>
        <w:t xml:space="preserve"> can be understood as the filter that maximizes the difference between the two input matrices. The eigenvectors in a GED are independent, but not orthogonal. In practice when applied to two covariance matrices </w:t>
      </w:r>
      <w:r>
        <w:rPr>
          <w:szCs w:val="24"/>
          <w:lang w:val="en-DE"/>
        </w:rPr>
        <w:t>where one matrix</w:t>
      </w:r>
      <w:r w:rsidR="001840C2" w:rsidRPr="001840C2">
        <w:rPr>
          <w:szCs w:val="24"/>
          <w:lang w:val="en-DE"/>
        </w:rPr>
        <w:t xml:space="preserve"> represent</w:t>
      </w:r>
      <w:r>
        <w:rPr>
          <w:szCs w:val="24"/>
          <w:lang w:val="en-DE"/>
        </w:rPr>
        <w:t>s</w:t>
      </w:r>
      <w:r w:rsidR="001840C2" w:rsidRPr="001840C2">
        <w:rPr>
          <w:szCs w:val="24"/>
          <w:lang w:val="en-DE"/>
        </w:rPr>
        <w:t xml:space="preserve"> the broadband activity and </w:t>
      </w:r>
      <w:r>
        <w:rPr>
          <w:szCs w:val="24"/>
          <w:lang w:val="en-DE"/>
        </w:rPr>
        <w:t>the other matrix is generated using a</w:t>
      </w:r>
      <w:r w:rsidR="001840C2" w:rsidRPr="001840C2">
        <w:rPr>
          <w:szCs w:val="24"/>
          <w:lang w:val="en-DE"/>
        </w:rPr>
        <w:t xml:space="preserve"> narrowband signal the first eigenvector yields a spatial weighting that maximizes the narrowband activity and minimizes the broadband activity.</w:t>
      </w:r>
      <w:r>
        <w:rPr>
          <w:szCs w:val="24"/>
          <w:lang w:val="en-DE"/>
        </w:rPr>
        <w:t xml:space="preserve"> This eigenvector can be applied to the narrowband filtered multichannel data to get generate a narrowband component.</w:t>
      </w:r>
      <w:r w:rsidR="001840C2" w:rsidRPr="001840C2">
        <w:rPr>
          <w:szCs w:val="24"/>
          <w:lang w:val="en-DE"/>
        </w:rPr>
        <w:t xml:space="preserve"> </w:t>
      </w:r>
      <w:r w:rsidR="001840C2" w:rsidRPr="001840C2">
        <w:rPr>
          <w:szCs w:val="24"/>
          <w:shd w:val="clear" w:color="auto" w:fill="FFFFFF"/>
        </w:rPr>
        <w:t>https://doi.org/10.7554/eLife.21792</w:t>
      </w:r>
      <w:r w:rsidR="001840C2" w:rsidRPr="001840C2">
        <w:rPr>
          <w:szCs w:val="24"/>
          <w:shd w:val="clear" w:color="auto" w:fill="FFFFFF"/>
          <w:lang w:val="en-DE"/>
        </w:rPr>
        <w:t xml:space="preserve"> xx</w:t>
      </w:r>
    </w:p>
    <w:p w14:paraId="40AA888E" w14:textId="77777777" w:rsidR="001840C2" w:rsidRPr="001840C2" w:rsidRDefault="001840C2" w:rsidP="001840C2">
      <w:pPr>
        <w:pStyle w:val="SMText"/>
        <w:spacing w:line="360" w:lineRule="auto"/>
        <w:rPr>
          <w:szCs w:val="24"/>
          <w:lang w:val="en-DE"/>
        </w:rPr>
      </w:pPr>
    </w:p>
    <w:p w14:paraId="44B088EC" w14:textId="1D9F4E54" w:rsidR="003065D7" w:rsidRPr="001840C2" w:rsidRDefault="003065D7" w:rsidP="001840C2">
      <w:pPr>
        <w:pStyle w:val="SMText"/>
        <w:spacing w:line="360" w:lineRule="auto"/>
        <w:ind w:firstLine="0"/>
        <w:rPr>
          <w:szCs w:val="24"/>
          <w:lang w:val="en-DE"/>
        </w:rPr>
      </w:pPr>
      <w:r w:rsidRPr="001840C2">
        <w:rPr>
          <w:szCs w:val="24"/>
          <w:lang w:val="en-DE"/>
        </w:rPr>
        <w:t>Based on previous literature (xx) we generated a slower theta component in the frequency range of 2 Hz to 5 Hz and a second</w:t>
      </w:r>
      <w:r w:rsidR="00CA0F2A">
        <w:rPr>
          <w:szCs w:val="24"/>
          <w:lang w:val="en-DE"/>
        </w:rPr>
        <w:t>,</w:t>
      </w:r>
      <w:r w:rsidRPr="001840C2">
        <w:rPr>
          <w:szCs w:val="24"/>
          <w:lang w:val="en-DE"/>
        </w:rPr>
        <w:t xml:space="preserve"> faster component in the range of 5 Hz and 9 Hz. To generate these </w:t>
      </w:r>
      <w:r w:rsidRPr="001840C2">
        <w:rPr>
          <w:szCs w:val="24"/>
          <w:lang w:val="en-DE"/>
        </w:rPr>
        <w:t>components,</w:t>
      </w:r>
      <w:r w:rsidRPr="001840C2">
        <w:rPr>
          <w:szCs w:val="24"/>
          <w:lang w:val="en-DE"/>
        </w:rPr>
        <w:t xml:space="preserve">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then divided by the number of samples. Next, we computed a second covariance matrix using the entire broadband signal. We computed the generalized </w:t>
      </w:r>
      <w:proofErr w:type="spellStart"/>
      <w:r w:rsidRPr="001840C2">
        <w:rPr>
          <w:szCs w:val="24"/>
          <w:lang w:val="en-DE"/>
        </w:rPr>
        <w:t>eigendecomposition</w:t>
      </w:r>
      <w:proofErr w:type="spellEnd"/>
      <w:r w:rsidRPr="001840C2">
        <w:rPr>
          <w:szCs w:val="24"/>
          <w:lang w:val="en-DE"/>
        </w:rPr>
        <w:t xml:space="preserve"> of these two </w:t>
      </w:r>
      <w:r w:rsidRPr="001840C2">
        <w:rPr>
          <w:szCs w:val="24"/>
          <w:lang w:val="en-DE"/>
        </w:rPr>
        <w:lastRenderedPageBreak/>
        <w:t xml:space="preserve">covariance matrices and used the eigenvector with the highest eigenvalue as a spatial filter for the narrowband filtered signal to generate a narrowband component. We </w:t>
      </w:r>
      <w:r w:rsidR="00CA0F2A">
        <w:rPr>
          <w:szCs w:val="24"/>
          <w:lang w:val="en-DE"/>
        </w:rPr>
        <w:t xml:space="preserve">then </w:t>
      </w:r>
      <w:r w:rsidRPr="001840C2">
        <w:rPr>
          <w:szCs w:val="24"/>
          <w:lang w:val="en-DE"/>
        </w:rPr>
        <w:t xml:space="preserve">applied the Hilbert transform to </w:t>
      </w:r>
      <w:r w:rsidR="00CA0F2A">
        <w:rPr>
          <w:szCs w:val="24"/>
          <w:lang w:val="en-DE"/>
        </w:rPr>
        <w:t xml:space="preserve">the narrowband component </w:t>
      </w:r>
      <w:r w:rsidRPr="001840C2">
        <w:rPr>
          <w:szCs w:val="24"/>
          <w:lang w:val="en-DE"/>
        </w:rPr>
        <w:t>get the analytic signal.</w:t>
      </w:r>
    </w:p>
    <w:p w14:paraId="43818CFE" w14:textId="77777777" w:rsidR="003065D7" w:rsidRPr="001840C2" w:rsidRDefault="003065D7" w:rsidP="001840C2">
      <w:pPr>
        <w:pStyle w:val="SMText"/>
        <w:spacing w:line="360" w:lineRule="auto"/>
        <w:rPr>
          <w:szCs w:val="24"/>
          <w:lang w:val="en-DE"/>
        </w:rPr>
      </w:pPr>
    </w:p>
    <w:p w14:paraId="5C0ABC25" w14:textId="09207081" w:rsidR="003065D7" w:rsidRDefault="003065D7" w:rsidP="001840C2">
      <w:pPr>
        <w:pStyle w:val="SMText"/>
        <w:spacing w:line="360" w:lineRule="auto"/>
        <w:rPr>
          <w:szCs w:val="24"/>
          <w:lang w:val="en-DE"/>
        </w:rPr>
      </w:pPr>
      <w:r w:rsidRPr="001840C2">
        <w:rPr>
          <w:szCs w:val="24"/>
          <w:lang w:val="en-DE"/>
        </w:rPr>
        <w:t xml:space="preserve">We considered the spikes of neurons up to two seconds preceding the patient's response during the encoding and retrieval of later remembered episodes. </w:t>
      </w:r>
      <w:r w:rsidR="003A5411">
        <w:rPr>
          <w:szCs w:val="24"/>
          <w:lang w:val="en-DE"/>
        </w:rPr>
        <w:t xml:space="preserve">Each neuron had to contain at least 11 spikes within the time of interest to be included for further analysis. </w:t>
      </w:r>
      <w:r w:rsidRPr="001840C2">
        <w:rPr>
          <w:szCs w:val="24"/>
          <w:lang w:val="en-DE"/>
        </w:rPr>
        <w:t>We confined all spike-field analyses to spikes and LFPs that were recorded on the same Behnke-Fried electrode.</w:t>
      </w:r>
    </w:p>
    <w:p w14:paraId="09262295" w14:textId="17095399" w:rsidR="00F526A5" w:rsidRDefault="00F526A5" w:rsidP="001840C2">
      <w:pPr>
        <w:spacing w:line="360" w:lineRule="auto"/>
        <w:rPr>
          <w:szCs w:val="24"/>
          <w:lang w:val="en-DE"/>
        </w:rPr>
      </w:pPr>
      <w:r w:rsidRPr="00F526A5">
        <w:rPr>
          <w:szCs w:val="24"/>
          <w:lang w:val="en-DE"/>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lang w:val="en-DE"/>
        </w:rPr>
        <w:t>r</w:t>
      </w:r>
      <w:r w:rsidRPr="00F526A5">
        <w:rPr>
          <w:szCs w:val="24"/>
          <w:lang w:val="en-DE"/>
        </w:rPr>
        <w:t>red phase by computing the angle of this average complex number. To estimate phase preference across neurons we performed a Rayleigh test.</w:t>
      </w:r>
    </w:p>
    <w:p w14:paraId="32753723" w14:textId="30535D11" w:rsidR="0011376D" w:rsidRPr="001840C2" w:rsidRDefault="003A5411" w:rsidP="001840C2">
      <w:pPr>
        <w:spacing w:line="360" w:lineRule="auto"/>
        <w:rPr>
          <w:szCs w:val="24"/>
          <w:lang w:val="en-DE"/>
        </w:rPr>
      </w:pPr>
      <w:r>
        <w:rPr>
          <w:szCs w:val="24"/>
          <w:lang w:val="en-DE"/>
        </w:rPr>
        <w:t xml:space="preserve">For each neuron we determined the complex value of the narrowband component at the time of the relevant spikes during encoding and retrieval. We </w:t>
      </w:r>
      <w:r w:rsidR="00F526A5">
        <w:rPr>
          <w:szCs w:val="24"/>
          <w:lang w:val="en-DE"/>
        </w:rPr>
        <w:t xml:space="preserve">next </w:t>
      </w:r>
      <w:r>
        <w:rPr>
          <w:szCs w:val="24"/>
          <w:lang w:val="en-DE"/>
        </w:rPr>
        <w:t xml:space="preserve">investigated whether there was a significant difference in the phase of the narrowband signal between spikes during encoding and retrieval for </w:t>
      </w:r>
      <w:r w:rsidR="00F526A5">
        <w:rPr>
          <w:szCs w:val="24"/>
          <w:lang w:val="en-DE"/>
        </w:rPr>
        <w:t>(</w:t>
      </w:r>
      <w:proofErr w:type="spellStart"/>
      <w:r w:rsidR="00F526A5">
        <w:rPr>
          <w:szCs w:val="24"/>
          <w:lang w:val="en-DE"/>
        </w:rPr>
        <w:t>i</w:t>
      </w:r>
      <w:proofErr w:type="spellEnd"/>
      <w:r w:rsidR="00F526A5">
        <w:rPr>
          <w:szCs w:val="24"/>
          <w:lang w:val="en-DE"/>
        </w:rPr>
        <w:t xml:space="preserve">) </w:t>
      </w:r>
      <w:r>
        <w:rPr>
          <w:szCs w:val="24"/>
          <w:lang w:val="en-DE"/>
        </w:rPr>
        <w:t xml:space="preserve">Episode Specific Neurons in trials that were later reinstated, </w:t>
      </w:r>
      <w:r w:rsidR="00F526A5">
        <w:rPr>
          <w:szCs w:val="24"/>
          <w:lang w:val="en-DE"/>
        </w:rPr>
        <w:t xml:space="preserve">(ii) </w:t>
      </w:r>
      <w:r>
        <w:rPr>
          <w:szCs w:val="24"/>
          <w:lang w:val="en-DE"/>
        </w:rPr>
        <w:t xml:space="preserve">for Episode Specific neurons in trials that were later not reinstated and </w:t>
      </w:r>
      <w:r w:rsidR="00F526A5">
        <w:rPr>
          <w:szCs w:val="24"/>
          <w:lang w:val="en-DE"/>
        </w:rPr>
        <w:t xml:space="preserve">(iii) </w:t>
      </w:r>
      <w:r>
        <w:rPr>
          <w:szCs w:val="24"/>
          <w:lang w:val="en-DE"/>
        </w:rPr>
        <w:t>all other neurons. To this end</w:t>
      </w:r>
      <w:r w:rsidR="00F526A5">
        <w:rPr>
          <w:szCs w:val="24"/>
          <w:lang w:val="en-DE"/>
        </w:rPr>
        <w:t>,</w:t>
      </w:r>
      <w:r>
        <w:rPr>
          <w:szCs w:val="24"/>
          <w:lang w:val="en-DE"/>
        </w:rPr>
        <w:t xml:space="preserve"> we computed the cosine similarity between the complex value of each spike at encoding with the complex value of each spike at retrieval. We then averaged these similarity values across spikes for each eligible neuron.</w:t>
      </w:r>
      <w:r w:rsidR="00F526A5">
        <w:rPr>
          <w:szCs w:val="24"/>
          <w:lang w:val="en-DE"/>
        </w:rPr>
        <w:t xml:space="preserve"> </w:t>
      </w:r>
      <w:commentRangeStart w:id="1"/>
      <w:r>
        <w:rPr>
          <w:szCs w:val="24"/>
          <w:lang w:val="en-DE"/>
        </w:rPr>
        <w:t>We</w:t>
      </w:r>
      <w:commentRangeEnd w:id="1"/>
      <w:r w:rsidR="003E2EE2">
        <w:rPr>
          <w:rStyle w:val="CommentReference"/>
        </w:rPr>
        <w:commentReference w:id="1"/>
      </w:r>
      <w:r>
        <w:rPr>
          <w:szCs w:val="24"/>
          <w:lang w:val="en-DE"/>
        </w:rPr>
        <w:t xml:space="preserve"> determined the statistical significance of these difference scores using a Rayleigh test</w:t>
      </w:r>
      <w:r w:rsidR="0003794E">
        <w:rPr>
          <w:szCs w:val="24"/>
          <w:lang w:val="en-DE"/>
        </w:rPr>
        <w:t xml:space="preserve"> for uniformity.</w:t>
      </w:r>
    </w:p>
    <w:sectPr w:rsidR="0011376D" w:rsidRPr="001840C2"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08T16:15:00Z" w:initials="LK(">
    <w:p w14:paraId="6EB064C0" w14:textId="77777777" w:rsidR="003E2EE2" w:rsidRDefault="003E2EE2" w:rsidP="00795B8A">
      <w:pPr>
        <w:pStyle w:val="CommentText"/>
      </w:pPr>
      <w:r>
        <w:rPr>
          <w:rStyle w:val="CommentReference"/>
        </w:rPr>
        <w:annotationRef/>
      </w:r>
      <w:r>
        <w:t>Only for HFA</w:t>
      </w:r>
    </w:p>
  </w:comment>
  <w:comment w:id="1" w:author="Luca Kolibius (PGR)" w:date="2022-12-08T16:15:00Z" w:initials="LK(">
    <w:p w14:paraId="12FF8263" w14:textId="09709E96" w:rsidR="003E2EE2" w:rsidRDefault="003E2EE2" w:rsidP="003C5230">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064C0" w15:done="0"/>
  <w15:commentEx w15:paraId="12FF82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C18" w16cex:dateUtc="2022-12-08T16:15:00Z"/>
  <w16cex:commentExtensible w16cex:durableId="273C8C0A" w16cex:dateUtc="2022-12-0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064C0" w16cid:durableId="273C8C18"/>
  <w16cid:commentId w16cid:paraId="12FF8263" w16cid:durableId="273C8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EB"/>
    <w:rsid w:val="00000B5B"/>
    <w:rsid w:val="0003794E"/>
    <w:rsid w:val="0011376D"/>
    <w:rsid w:val="001840C2"/>
    <w:rsid w:val="003065D7"/>
    <w:rsid w:val="003A5411"/>
    <w:rsid w:val="003E2A69"/>
    <w:rsid w:val="003E2EE2"/>
    <w:rsid w:val="004B5FFD"/>
    <w:rsid w:val="005100FE"/>
    <w:rsid w:val="005B0A7A"/>
    <w:rsid w:val="00766E9E"/>
    <w:rsid w:val="007C78F9"/>
    <w:rsid w:val="007F16B5"/>
    <w:rsid w:val="008332EB"/>
    <w:rsid w:val="0095288A"/>
    <w:rsid w:val="009622D4"/>
    <w:rsid w:val="0096480F"/>
    <w:rsid w:val="009A75B9"/>
    <w:rsid w:val="00A30D29"/>
    <w:rsid w:val="00A34844"/>
    <w:rsid w:val="00AD7818"/>
    <w:rsid w:val="00AE130B"/>
    <w:rsid w:val="00B66183"/>
    <w:rsid w:val="00B948BD"/>
    <w:rsid w:val="00C076B0"/>
    <w:rsid w:val="00C43058"/>
    <w:rsid w:val="00CA0F2A"/>
    <w:rsid w:val="00CD7717"/>
    <w:rsid w:val="00D9361E"/>
    <w:rsid w:val="00E262FB"/>
    <w:rsid w:val="00F454BB"/>
    <w:rsid w:val="00F52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chartTrackingRefBased/>
  <w15:docId w15:val="{7B9BAC5D-C0BC-4373-B078-A86F4A28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2EB"/>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 w:type="character" w:styleId="CommentReference">
    <w:name w:val="annotation reference"/>
    <w:basedOn w:val="DefaultParagraphFont"/>
    <w:uiPriority w:val="99"/>
    <w:semiHidden/>
    <w:unhideWhenUsed/>
    <w:rsid w:val="003E2EE2"/>
    <w:rPr>
      <w:sz w:val="16"/>
      <w:szCs w:val="16"/>
    </w:rPr>
  </w:style>
  <w:style w:type="paragraph" w:styleId="CommentText">
    <w:name w:val="annotation text"/>
    <w:basedOn w:val="Normal"/>
    <w:link w:val="CommentTextChar"/>
    <w:uiPriority w:val="99"/>
    <w:unhideWhenUsed/>
    <w:rsid w:val="003E2EE2"/>
    <w:rPr>
      <w:sz w:val="20"/>
    </w:rPr>
  </w:style>
  <w:style w:type="character" w:customStyle="1" w:styleId="CommentTextChar">
    <w:name w:val="Comment Text Char"/>
    <w:basedOn w:val="DefaultParagraphFont"/>
    <w:link w:val="CommentText"/>
    <w:uiPriority w:val="99"/>
    <w:rsid w:val="003E2E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EE2"/>
    <w:rPr>
      <w:b/>
      <w:bCs/>
    </w:rPr>
  </w:style>
  <w:style w:type="character" w:customStyle="1" w:styleId="CommentSubjectChar">
    <w:name w:val="Comment Subject Char"/>
    <w:basedOn w:val="CommentTextChar"/>
    <w:link w:val="CommentSubject"/>
    <w:uiPriority w:val="99"/>
    <w:semiHidden/>
    <w:rsid w:val="003E2EE2"/>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10565</TotalTime>
  <Pages>8</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2</cp:revision>
  <dcterms:created xsi:type="dcterms:W3CDTF">2022-11-28T10:14:00Z</dcterms:created>
  <dcterms:modified xsi:type="dcterms:W3CDTF">2022-12-09T16:58:00Z</dcterms:modified>
</cp:coreProperties>
</file>