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F2DA" w14:textId="720B655A" w:rsidR="00780FA2" w:rsidRPr="00725BFB" w:rsidRDefault="00CE6D8C"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There is conflicting evidence on the role of theta oscillations in episodic memories. While most studies employing </w:t>
      </w:r>
      <w:r w:rsidR="00725BFB" w:rsidRPr="00725BFB">
        <w:rPr>
          <w:rFonts w:ascii="Times New Roman" w:hAnsi="Times New Roman" w:cs="Times New Roman"/>
          <w:sz w:val="24"/>
          <w:szCs w:val="24"/>
        </w:rPr>
        <w:t>surface</w:t>
      </w:r>
      <w:r w:rsidRPr="00725BFB">
        <w:rPr>
          <w:rFonts w:ascii="Times New Roman" w:hAnsi="Times New Roman" w:cs="Times New Roman"/>
          <w:sz w:val="24"/>
          <w:szCs w:val="24"/>
        </w:rPr>
        <w:t xml:space="preserve"> EEG report increases in theta power, most </w:t>
      </w:r>
      <w:proofErr w:type="spellStart"/>
      <w:r w:rsidRPr="00725BFB">
        <w:rPr>
          <w:rFonts w:ascii="Times New Roman" w:hAnsi="Times New Roman" w:cs="Times New Roman"/>
          <w:sz w:val="24"/>
          <w:szCs w:val="24"/>
        </w:rPr>
        <w:t>iEEG</w:t>
      </w:r>
      <w:proofErr w:type="spellEnd"/>
      <w:r w:rsidRPr="00725BFB">
        <w:rPr>
          <w:rFonts w:ascii="Times New Roman" w:hAnsi="Times New Roman" w:cs="Times New Roman"/>
          <w:sz w:val="24"/>
          <w:szCs w:val="24"/>
        </w:rPr>
        <w:t xml:space="preserve"> studies report a memory induced theta power decrease. </w:t>
      </w:r>
      <w:proofErr w:type="spellStart"/>
      <w:r w:rsidRPr="00725BFB">
        <w:rPr>
          <w:rFonts w:ascii="Times New Roman" w:hAnsi="Times New Roman" w:cs="Times New Roman"/>
          <w:sz w:val="24"/>
          <w:szCs w:val="24"/>
        </w:rPr>
        <w:t>Herweg</w:t>
      </w:r>
      <w:proofErr w:type="spellEnd"/>
      <w:r w:rsidRPr="00725BFB">
        <w:rPr>
          <w:rFonts w:ascii="Times New Roman" w:hAnsi="Times New Roman" w:cs="Times New Roman"/>
          <w:sz w:val="24"/>
          <w:szCs w:val="24"/>
        </w:rPr>
        <w:t xml:space="preserve"> and colleagues (tics, 2020 xx) review this evidence and suggest that studies contrasting later remembered with later forgotten conflating domain-general cognitive processes such as attention and perception with memory specific processes. Because the former is assumed to lead to a spectral tilt (less low frequency power and more high frequency power) </w:t>
      </w:r>
      <w:r w:rsidR="00780FA2" w:rsidRPr="00725BFB">
        <w:rPr>
          <w:rFonts w:ascii="Times New Roman" w:hAnsi="Times New Roman" w:cs="Times New Roman"/>
          <w:sz w:val="24"/>
          <w:szCs w:val="24"/>
        </w:rPr>
        <w:t xml:space="preserve">a narrow band theta power increase induced by memory might be overshadowed. </w:t>
      </w:r>
      <w:r w:rsidR="00780FA2" w:rsidRPr="00725BFB">
        <w:rPr>
          <w:rFonts w:ascii="Times New Roman" w:hAnsi="Times New Roman" w:cs="Times New Roman"/>
          <w:sz w:val="24"/>
          <w:szCs w:val="24"/>
        </w:rPr>
        <w:t>[</w:t>
      </w:r>
      <w:proofErr w:type="spellStart"/>
      <w:r w:rsidR="00780FA2" w:rsidRPr="00725BFB">
        <w:rPr>
          <w:rFonts w:ascii="Times New Roman" w:hAnsi="Times New Roman" w:cs="Times New Roman"/>
          <w:sz w:val="24"/>
          <w:szCs w:val="24"/>
        </w:rPr>
        <w:t>simons</w:t>
      </w:r>
      <w:proofErr w:type="spellEnd"/>
      <w:r w:rsidR="00780FA2" w:rsidRPr="00725BFB">
        <w:rPr>
          <w:rFonts w:ascii="Times New Roman" w:hAnsi="Times New Roman" w:cs="Times New Roman"/>
          <w:sz w:val="24"/>
          <w:szCs w:val="24"/>
        </w:rPr>
        <w:t xml:space="preserve"> synch/desync]</w:t>
      </w:r>
      <w:r w:rsidR="00780FA2" w:rsidRPr="00725BFB">
        <w:rPr>
          <w:rFonts w:ascii="Times New Roman" w:hAnsi="Times New Roman" w:cs="Times New Roman"/>
          <w:sz w:val="24"/>
          <w:szCs w:val="24"/>
        </w:rPr>
        <w:t>.</w:t>
      </w:r>
    </w:p>
    <w:p w14:paraId="71CBFC34" w14:textId="3DDE8AD5" w:rsidR="00780FA2"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To ameliorate this shortcoming researcher should not contrast successful memory with unsuccessful memory but instead should compare strength of memory (e.g., retrieval confidence, amount of detail in contextual retrieval, retrieved spatial distance to encoded location in a navigational task). The authors implicitly assume that task engagement, effort and perception/attention are binary processes, whereas memory strength is continuous. Although a valid concern, this assumption is not necessarily met. One way to test this hypothesis is to invert the focus from remembered episodes to forgotten episodes. If successful memory hinges on domain-general cognitive processes manifested in a spectral tilt and memory-specific narrowband theta increases, then later forgotten </w:t>
      </w:r>
      <w:r w:rsidR="00725BFB" w:rsidRPr="00725BFB">
        <w:rPr>
          <w:rFonts w:ascii="Times New Roman" w:hAnsi="Times New Roman" w:cs="Times New Roman"/>
          <w:sz w:val="24"/>
          <w:szCs w:val="24"/>
        </w:rPr>
        <w:t>e</w:t>
      </w:r>
      <w:r w:rsidRPr="00725BFB">
        <w:rPr>
          <w:rFonts w:ascii="Times New Roman" w:hAnsi="Times New Roman" w:cs="Times New Roman"/>
          <w:sz w:val="24"/>
          <w:szCs w:val="24"/>
        </w:rPr>
        <w:t xml:space="preserve">pisodes should sometimes exhibit a spectral tilt without a narrowband theta peak if the point of failure was memory related and sometimes there should be neither spectral tilt, nor theta peak if unsuccessful memory was due to failure in attention et al. Importantly, a theta peak without a spectral tilt would falsify the theory. </w:t>
      </w:r>
    </w:p>
    <w:p w14:paraId="66C4BEEF" w14:textId="6ECCE02B" w:rsidR="00780FA2"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Another reason how surface EEG might show a theta power increase although the LFP shows a decrease is if theta over larger areas synchronizes but decreases in amplitude. The decrease is truthfully reflected in the LFP, but activity on the scalp is integrated over larger areas and thus more synchronous theta could lead to higher scalp theta power. Taken together these considerations imply theta activity as an integral part of memory processing and suggest that conflicting evidence arises due to different recording methods (EEEG/</w:t>
      </w:r>
      <w:proofErr w:type="spellStart"/>
      <w:r w:rsidRPr="00725BFB">
        <w:rPr>
          <w:rFonts w:ascii="Times New Roman" w:hAnsi="Times New Roman" w:cs="Times New Roman"/>
          <w:sz w:val="24"/>
          <w:szCs w:val="24"/>
        </w:rPr>
        <w:t>iEEG</w:t>
      </w:r>
      <w:proofErr w:type="spellEnd"/>
      <w:r w:rsidRPr="00725BFB">
        <w:rPr>
          <w:rFonts w:ascii="Times New Roman" w:hAnsi="Times New Roman" w:cs="Times New Roman"/>
          <w:sz w:val="24"/>
          <w:szCs w:val="24"/>
        </w:rPr>
        <w:t>), memory contrasts (success vs success or vs failure9 and frequency ranges (broadband vs narrowband).</w:t>
      </w:r>
    </w:p>
    <w:p w14:paraId="03A8A286" w14:textId="77777777" w:rsidR="002833D3"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An open question remains if all theta is created equal. Compared to </w:t>
      </w:r>
      <w:proofErr w:type="gramStart"/>
      <w:r w:rsidRPr="00725BFB">
        <w:rPr>
          <w:rFonts w:ascii="Times New Roman" w:hAnsi="Times New Roman" w:cs="Times New Roman"/>
          <w:sz w:val="24"/>
          <w:szCs w:val="24"/>
        </w:rPr>
        <w:t>rodents</w:t>
      </w:r>
      <w:proofErr w:type="gramEnd"/>
      <w:r w:rsidRPr="00725BFB">
        <w:rPr>
          <w:rFonts w:ascii="Times New Roman" w:hAnsi="Times New Roman" w:cs="Times New Roman"/>
          <w:sz w:val="24"/>
          <w:szCs w:val="24"/>
        </w:rPr>
        <w:t xml:space="preserve"> human theta activity is slower (xx) (hippocampal?)</w:t>
      </w:r>
      <w:r w:rsidR="002833D3" w:rsidRPr="00725BFB">
        <w:rPr>
          <w:rFonts w:ascii="Times New Roman" w:hAnsi="Times New Roman" w:cs="Times New Roman"/>
          <w:sz w:val="24"/>
          <w:szCs w:val="24"/>
        </w:rPr>
        <w:t xml:space="preserve"> and in the hippocampus split into slow (2-5 Hz) and fast theta (5-9 Hz) (xx). Contrary to what has been believed for a long time there are separate theta generators in the hippocampus (septum, xx) and the cortex (xx).</w:t>
      </w:r>
    </w:p>
    <w:p w14:paraId="4A429B46" w14:textId="0DEF3C92" w:rsidR="00725BFB" w:rsidRDefault="002833D3" w:rsidP="00725BFB">
      <w:pPr>
        <w:pStyle w:val="ListParagraph"/>
        <w:numPr>
          <w:ilvl w:val="0"/>
          <w:numId w:val="1"/>
        </w:numPr>
        <w:spacing w:after="0" w:line="360" w:lineRule="auto"/>
        <w:ind w:left="0"/>
        <w:rPr>
          <w:rFonts w:ascii="Times New Roman" w:hAnsi="Times New Roman" w:cs="Times New Roman"/>
          <w:sz w:val="24"/>
          <w:szCs w:val="24"/>
        </w:rPr>
      </w:pPr>
      <w:proofErr w:type="spellStart"/>
      <w:r w:rsidRPr="00725BFB">
        <w:rPr>
          <w:rFonts w:ascii="Times New Roman" w:hAnsi="Times New Roman" w:cs="Times New Roman"/>
          <w:sz w:val="24"/>
          <w:szCs w:val="24"/>
        </w:rPr>
        <w:t>Buzsaki</w:t>
      </w:r>
      <w:proofErr w:type="spellEnd"/>
      <w:r w:rsidRPr="00725BFB">
        <w:rPr>
          <w:rFonts w:ascii="Times New Roman" w:hAnsi="Times New Roman" w:cs="Times New Roman"/>
          <w:sz w:val="24"/>
          <w:szCs w:val="24"/>
        </w:rPr>
        <w:t xml:space="preserve"> STDP idea and more into phase precession in place cells </w:t>
      </w:r>
    </w:p>
    <w:p w14:paraId="2DF36C21" w14:textId="77777777" w:rsidR="00725BFB" w:rsidRDefault="00725BFB">
      <w:pPr>
        <w:rPr>
          <w:rFonts w:ascii="Times New Roman" w:hAnsi="Times New Roman" w:cs="Times New Roman"/>
          <w:sz w:val="24"/>
          <w:szCs w:val="24"/>
        </w:rPr>
      </w:pPr>
      <w:r>
        <w:rPr>
          <w:rFonts w:ascii="Times New Roman" w:hAnsi="Times New Roman" w:cs="Times New Roman"/>
          <w:sz w:val="24"/>
          <w:szCs w:val="24"/>
        </w:rPr>
        <w:br w:type="page"/>
      </w:r>
    </w:p>
    <w:p w14:paraId="4E6967C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Acknowledgements</w:t>
      </w:r>
    </w:p>
    <w:p w14:paraId="3CBFF06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manuscript in front of you is the culmination of over four years of work. Naturally, there are many people that supported me over these years and who I wish to thank.</w:t>
      </w:r>
    </w:p>
    <w:p w14:paraId="2A774DF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First, I would like to thank my wife María who has been an incredible support over the years. Through the dark Scottish winter </w:t>
      </w:r>
      <w:proofErr w:type="gramStart"/>
      <w:r w:rsidRPr="001D55EE">
        <w:rPr>
          <w:rFonts w:eastAsia="Times New Roman" w:cs="Times New Roman"/>
          <w:kern w:val="0"/>
          <w14:ligatures w14:val="none"/>
        </w:rPr>
        <w:t>months</w:t>
      </w:r>
      <w:proofErr w:type="gramEnd"/>
      <w:r w:rsidRPr="001D55EE">
        <w:rPr>
          <w:rFonts w:eastAsia="Times New Roman" w:cs="Times New Roman"/>
          <w:kern w:val="0"/>
          <w14:ligatures w14:val="none"/>
        </w:rPr>
        <w:t xml:space="preserve"> you have been my ray of sunlight. I do not know a single person as strong as you and I am grateful to have you by my side.</w:t>
      </w:r>
    </w:p>
    <w:p w14:paraId="3DF75B7E"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 thank my family, especially my parents Verena and Michael Kolibius for their unwavering support over my entire life and for being a permanent reference point in an otherwise chaotic world. I could not have done this without you. One day I hope to be such a good parent to my children.</w:t>
      </w:r>
    </w:p>
    <w:p w14:paraId="557DCB49"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At the very beginning of my PhD Simon </w:t>
      </w:r>
      <w:proofErr w:type="spellStart"/>
      <w:r w:rsidRPr="001D55EE">
        <w:rPr>
          <w:rFonts w:eastAsia="Times New Roman" w:cs="Times New Roman"/>
          <w:kern w:val="0"/>
          <w14:ligatures w14:val="none"/>
        </w:rPr>
        <w:t>Hanslmayr</w:t>
      </w:r>
      <w:proofErr w:type="spellEnd"/>
      <w:r w:rsidRPr="001D55EE">
        <w:rPr>
          <w:rFonts w:eastAsia="Times New Roman" w:cs="Times New Roman"/>
          <w:kern w:val="0"/>
          <w14:ligatures w14:val="none"/>
        </w:rPr>
        <w:t xml:space="preserve"> and Bernhard </w:t>
      </w:r>
      <w:proofErr w:type="spellStart"/>
      <w:r w:rsidRPr="001D55EE">
        <w:rPr>
          <w:rFonts w:eastAsia="Times New Roman" w:cs="Times New Roman"/>
          <w:kern w:val="0"/>
          <w14:ligatures w14:val="none"/>
        </w:rPr>
        <w:t>Staresina</w:t>
      </w:r>
      <w:proofErr w:type="spellEnd"/>
      <w:r w:rsidRPr="001D55EE">
        <w:rPr>
          <w:rFonts w:eastAsia="Times New Roman" w:cs="Times New Roman"/>
          <w:kern w:val="0"/>
          <w14:ligatures w14:val="none"/>
        </w:rPr>
        <w:t xml:space="preserve"> invited me to a meeting discussing which dataset should be used to investigate “Index Neurons”. I was unrecoverably lost which found its peak when Bernhard understood some implications before Simon finished his sentence. That was the only time I doubted myself.</w:t>
      </w:r>
    </w:p>
    <w:p w14:paraId="55EC99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soon recovered my excitement for research although often stumbled on unseen ground. I am very grateful to Simon, my </w:t>
      </w:r>
      <w:proofErr w:type="spellStart"/>
      <w:r w:rsidRPr="001D55EE">
        <w:rPr>
          <w:rFonts w:eastAsia="Times New Roman" w:cs="Times New Roman"/>
          <w:i/>
          <w:iCs/>
          <w:kern w:val="0"/>
          <w14:ligatures w14:val="none"/>
        </w:rPr>
        <w:t>Doktorvater</w:t>
      </w:r>
      <w:proofErr w:type="spellEnd"/>
      <w:r w:rsidRPr="001D55EE">
        <w:rPr>
          <w:rFonts w:eastAsia="Times New Roman" w:cs="Times New Roman"/>
          <w:kern w:val="0"/>
          <w14:ligatures w14:val="none"/>
        </w:rPr>
        <w:t xml:space="preserve"> for his guidance and his trust in me even when I was hard stuck on a particular problem for weeks or head over heels down a rabbit hole. For me, Simon embodies coolness and a keen mind in equal parts. I would also like to thank my second supervisor Howard Bowman. I find your intuitive grasp on mathematics inspiring and thoroughly enjoy our long conversations about neuroscience and all other things.</w:t>
      </w:r>
    </w:p>
    <w:p w14:paraId="70CB442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thank the sharp minds that have accompanied me in this journey and had so many valuable conversations, especially Sander van Bree, Mircea van der </w:t>
      </w:r>
      <w:proofErr w:type="spellStart"/>
      <w:r w:rsidRPr="001D55EE">
        <w:rPr>
          <w:rFonts w:eastAsia="Times New Roman" w:cs="Times New Roman"/>
          <w:kern w:val="0"/>
          <w14:ligatures w14:val="none"/>
        </w:rPr>
        <w:t>Plas</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Marit</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Petzka</w:t>
      </w:r>
      <w:proofErr w:type="spellEnd"/>
      <w:r w:rsidRPr="001D55EE">
        <w:rPr>
          <w:rFonts w:eastAsia="Times New Roman" w:cs="Times New Roman"/>
          <w:kern w:val="0"/>
          <w14:ligatures w14:val="none"/>
        </w:rPr>
        <w:t xml:space="preserve">, Chris </w:t>
      </w:r>
      <w:proofErr w:type="spellStart"/>
      <w:r w:rsidRPr="001D55EE">
        <w:rPr>
          <w:rFonts w:eastAsia="Times New Roman" w:cs="Times New Roman"/>
          <w:kern w:val="0"/>
          <w14:ligatures w14:val="none"/>
        </w:rPr>
        <w:t>Postzrich</w:t>
      </w:r>
      <w:proofErr w:type="spellEnd"/>
      <w:r w:rsidRPr="001D55EE">
        <w:rPr>
          <w:rFonts w:eastAsia="Times New Roman" w:cs="Times New Roman"/>
          <w:kern w:val="0"/>
          <w14:ligatures w14:val="none"/>
        </w:rPr>
        <w:t>. Thank you for listening to my premature ecstatic outbursts on ideas that are often little more than conjecture (but sometimes turn out to be useful!).</w:t>
      </w:r>
    </w:p>
    <w:p w14:paraId="6BC00B4A" w14:textId="77777777" w:rsidR="00FB30F5" w:rsidRDefault="00FB30F5" w:rsidP="001D55EE">
      <w:pPr>
        <w:rPr>
          <w:rFonts w:eastAsia="Times New Roman" w:cs="Times New Roman"/>
          <w:kern w:val="0"/>
          <w14:ligatures w14:val="none"/>
        </w:rPr>
      </w:pPr>
    </w:p>
    <w:p w14:paraId="191A2A18" w14:textId="77777777" w:rsidR="00FB30F5" w:rsidRDefault="00FB30F5" w:rsidP="001D55EE">
      <w:pPr>
        <w:rPr>
          <w:rFonts w:eastAsia="Times New Roman" w:cs="Times New Roman"/>
          <w:kern w:val="0"/>
          <w14:ligatures w14:val="none"/>
        </w:rPr>
      </w:pPr>
    </w:p>
    <w:p w14:paraId="02ED0E63" w14:textId="417DFB30"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br w:type="page"/>
      </w:r>
    </w:p>
    <w:p w14:paraId="65899C3D" w14:textId="0F1D0D5C" w:rsid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Include a figure showing the LFP with AP</w:t>
      </w:r>
    </w:p>
    <w:p w14:paraId="6896306D" w14:textId="77777777" w:rsidR="00FB30F5" w:rsidRPr="001D55EE" w:rsidRDefault="00FB30F5" w:rsidP="001D55EE">
      <w:pPr>
        <w:rPr>
          <w:rFonts w:eastAsia="Times New Roman" w:cs="Times New Roman"/>
          <w:kern w:val="0"/>
          <w14:ligatures w14:val="none"/>
        </w:rPr>
      </w:pPr>
    </w:p>
    <w:p w14:paraId="3C2E0737"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Episodic memories:</w:t>
      </w:r>
    </w:p>
    <w:p w14:paraId="4CD792EF"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Tulving &amp; </w:t>
      </w:r>
      <w:proofErr w:type="spellStart"/>
      <w:r>
        <w:rPr>
          <w:rFonts w:ascii="Times New Roman" w:hAnsi="Times New Roman" w:cs="Times New Roman"/>
          <w:sz w:val="24"/>
          <w:szCs w:val="24"/>
        </w:rPr>
        <w:t>markowitch</w:t>
      </w:r>
      <w:proofErr w:type="spellEnd"/>
      <w:r>
        <w:rPr>
          <w:rFonts w:ascii="Times New Roman" w:hAnsi="Times New Roman" w:cs="Times New Roman"/>
          <w:sz w:val="24"/>
          <w:szCs w:val="24"/>
        </w:rPr>
        <w:t xml:space="preserve"> 1998) </w:t>
      </w:r>
    </w:p>
    <w:p w14:paraId="052CBF62"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Nadel &amp; </w:t>
      </w:r>
      <w:proofErr w:type="spellStart"/>
      <w:r>
        <w:rPr>
          <w:rFonts w:ascii="Times New Roman" w:hAnsi="Times New Roman" w:cs="Times New Roman"/>
          <w:sz w:val="24"/>
          <w:szCs w:val="24"/>
        </w:rPr>
        <w:t>Moscovitch</w:t>
      </w:r>
      <w:proofErr w:type="spellEnd"/>
      <w:r>
        <w:rPr>
          <w:rFonts w:ascii="Times New Roman" w:hAnsi="Times New Roman" w:cs="Times New Roman"/>
          <w:sz w:val="24"/>
          <w:szCs w:val="24"/>
        </w:rPr>
        <w:t xml:space="preserve"> 1997: even highly overlapping episodes are all unique.</w:t>
      </w:r>
    </w:p>
    <w:p w14:paraId="6B3BCDF6" w14:textId="77777777" w:rsidR="001D55EE" w:rsidRPr="001D55EE" w:rsidRDefault="001D55EE" w:rsidP="001D55EE">
      <w:pPr>
        <w:rPr>
          <w:rFonts w:eastAsia="Times New Roman" w:cs="Times New Roman"/>
          <w:kern w:val="0"/>
          <w14:ligatures w14:val="none"/>
        </w:rPr>
      </w:pPr>
    </w:p>
    <w:p w14:paraId="7059559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We use the </w:t>
      </w:r>
      <w:proofErr w:type="spellStart"/>
      <w:r w:rsidRPr="001D55EE">
        <w:rPr>
          <w:rFonts w:eastAsia="Times New Roman" w:cs="Times New Roman"/>
          <w:kern w:val="0"/>
          <w14:ligatures w14:val="none"/>
        </w:rPr>
        <w:t>hilbert</w:t>
      </w:r>
      <w:proofErr w:type="spellEnd"/>
      <w:r w:rsidRPr="001D55EE">
        <w:rPr>
          <w:rFonts w:eastAsia="Times New Roman" w:cs="Times New Roman"/>
          <w:kern w:val="0"/>
          <w14:ligatures w14:val="none"/>
        </w:rPr>
        <w:t xml:space="preserve"> transform which assumes </w:t>
      </w:r>
      <w:proofErr w:type="spellStart"/>
      <w:r w:rsidRPr="001D55EE">
        <w:rPr>
          <w:rFonts w:eastAsia="Times New Roman" w:cs="Times New Roman"/>
          <w:kern w:val="0"/>
          <w14:ligatures w14:val="none"/>
        </w:rPr>
        <w:t>sinusoidality</w:t>
      </w:r>
      <w:proofErr w:type="spellEnd"/>
      <w:r w:rsidRPr="001D55EE">
        <w:rPr>
          <w:rFonts w:eastAsia="Times New Roman" w:cs="Times New Roman"/>
          <w:kern w:val="0"/>
          <w14:ligatures w14:val="none"/>
        </w:rPr>
        <w:t xml:space="preserve"> of the signal.</w:t>
      </w:r>
    </w:p>
    <w:p w14:paraId="2E3592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Other methods (e.g., linear interpolation methods: doi.org/10.1152/jn.00273.2019; empirical mode decomposition) do not have that assumption and might be more adequate.</w:t>
      </w:r>
    </w:p>
    <w:p w14:paraId="6807811B" w14:textId="7F071A49" w:rsidR="00FB30F5" w:rsidRDefault="001D55EE">
      <w:pPr>
        <w:rPr>
          <w:rFonts w:eastAsia="Times New Roman" w:cs="Times New Roman"/>
          <w:kern w:val="0"/>
          <w14:ligatures w14:val="none"/>
        </w:rPr>
      </w:pPr>
      <w:r w:rsidRPr="001D55EE">
        <w:rPr>
          <w:rFonts w:eastAsia="Times New Roman" w:cs="Times New Roman"/>
          <w:kern w:val="0"/>
          <w14:ligatures w14:val="none"/>
        </w:rPr>
        <w:t>During a spatial navigation task neural spiking locked to oscillations in the LFP of the microwire at which they were recorded, particularly at theta and gamma (josh 2007 paper). Locked to various phases in the theta range</w:t>
      </w:r>
    </w:p>
    <w:p w14:paraId="4E886F89" w14:textId="77777777" w:rsidR="00FB30F5" w:rsidRDefault="00FB30F5">
      <w:pPr>
        <w:rPr>
          <w:rFonts w:ascii="Times New Roman" w:hAnsi="Times New Roman" w:cs="Times New Roman"/>
          <w:sz w:val="24"/>
          <w:szCs w:val="24"/>
        </w:rPr>
      </w:pPr>
    </w:p>
    <w:p w14:paraId="5A5E58C4" w14:textId="77777777" w:rsidR="00C8766F" w:rsidRPr="00C8766F" w:rsidRDefault="00C8766F" w:rsidP="00C8766F">
      <w:pPr>
        <w:spacing w:after="0" w:line="360" w:lineRule="auto"/>
        <w:rPr>
          <w:rFonts w:eastAsia="Times New Roman" w:cs="Times New Roman"/>
          <w:kern w:val="0"/>
          <w14:ligatures w14:val="none"/>
        </w:rPr>
      </w:pPr>
      <w:r w:rsidRPr="00C8766F">
        <w:rPr>
          <w:rFonts w:eastAsia="Times New Roman" w:cs="Times New Roman"/>
          <w:kern w:val="0"/>
          <w14:ligatures w14:val="none"/>
        </w:rPr>
        <w:t>The patient was implanted with six depth electrodes of the Behnke Fried type (see Figure 4) from Ad-Tech Medical Instrument Corporation. These single-use electrodes are made from platinum, have a diameter of 1.3mm and allow for simultaneous macro and micro contact recordings. Platinum has a high impedance for lower frequency and a low impedance for higher frequency bands. As such it is suitable to pick up local action potentials. The micro contacts extend radially past the end point of the macro depth electrode. Each Behnke-Fried electrode contains eight high-impedance microwires and one low-impedance microwire.</w:t>
      </w:r>
    </w:p>
    <w:p w14:paraId="708049FE" w14:textId="77777777" w:rsidR="00C8766F" w:rsidRPr="00C8766F" w:rsidRDefault="00C8766F" w:rsidP="00C8766F">
      <w:pPr>
        <w:spacing w:after="0" w:line="360" w:lineRule="auto"/>
        <w:rPr>
          <w:rFonts w:eastAsia="Times New Roman" w:cs="Times New Roman"/>
          <w:kern w:val="0"/>
          <w14:ligatures w14:val="none"/>
        </w:rPr>
      </w:pPr>
    </w:p>
    <w:p w14:paraId="0FD12B18" w14:textId="77777777" w:rsidR="00C435A6" w:rsidRPr="00725BFB" w:rsidRDefault="00C435A6" w:rsidP="00725BFB">
      <w:pPr>
        <w:pStyle w:val="ListParagraph"/>
        <w:spacing w:after="0" w:line="360" w:lineRule="auto"/>
        <w:ind w:left="0"/>
        <w:rPr>
          <w:rFonts w:ascii="Times New Roman" w:hAnsi="Times New Roman" w:cs="Times New Roman"/>
          <w:sz w:val="24"/>
          <w:szCs w:val="24"/>
        </w:rPr>
      </w:pPr>
    </w:p>
    <w:sectPr w:rsidR="00C435A6" w:rsidRPr="00725BFB" w:rsidSect="00725BFB">
      <w:pgSz w:w="11906" w:h="16838"/>
      <w:pgMar w:top="1021" w:right="851" w:bottom="1021"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6293"/>
    <w:multiLevelType w:val="hybridMultilevel"/>
    <w:tmpl w:val="93B88B8C"/>
    <w:lvl w:ilvl="0" w:tplc="FA3ED3C4">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64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C"/>
    <w:rsid w:val="00187288"/>
    <w:rsid w:val="001D55EE"/>
    <w:rsid w:val="002833D3"/>
    <w:rsid w:val="003A4DC2"/>
    <w:rsid w:val="005737AB"/>
    <w:rsid w:val="005B0A7A"/>
    <w:rsid w:val="0070406F"/>
    <w:rsid w:val="00725BFB"/>
    <w:rsid w:val="00780FA2"/>
    <w:rsid w:val="008271A4"/>
    <w:rsid w:val="0099232E"/>
    <w:rsid w:val="009B2A0E"/>
    <w:rsid w:val="00A2276E"/>
    <w:rsid w:val="00C435A6"/>
    <w:rsid w:val="00C8766F"/>
    <w:rsid w:val="00CC6B23"/>
    <w:rsid w:val="00CE6D8C"/>
    <w:rsid w:val="00D43396"/>
    <w:rsid w:val="00D9361E"/>
    <w:rsid w:val="00EB6F76"/>
    <w:rsid w:val="00FB30F5"/>
    <w:rsid w:val="00FC1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FEE6"/>
  <w15:chartTrackingRefBased/>
  <w15:docId w15:val="{DE4E4E10-C5CB-4688-B228-9244DB8B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D3"/>
    <w:pPr>
      <w:ind w:left="720"/>
      <w:contextualSpacing/>
    </w:pPr>
  </w:style>
  <w:style w:type="character" w:styleId="CommentReference">
    <w:name w:val="annotation reference"/>
    <w:basedOn w:val="DefaultParagraphFont"/>
    <w:uiPriority w:val="99"/>
    <w:semiHidden/>
    <w:unhideWhenUsed/>
    <w:rsid w:val="00FC1A47"/>
    <w:rPr>
      <w:sz w:val="16"/>
      <w:szCs w:val="16"/>
    </w:rPr>
  </w:style>
  <w:style w:type="paragraph" w:styleId="CommentText">
    <w:name w:val="annotation text"/>
    <w:basedOn w:val="Normal"/>
    <w:link w:val="CommentTextChar"/>
    <w:uiPriority w:val="99"/>
    <w:unhideWhenUsed/>
    <w:rsid w:val="00FC1A47"/>
    <w:pPr>
      <w:spacing w:line="240" w:lineRule="auto"/>
    </w:pPr>
    <w:rPr>
      <w:sz w:val="20"/>
      <w:szCs w:val="20"/>
    </w:rPr>
  </w:style>
  <w:style w:type="character" w:customStyle="1" w:styleId="CommentTextChar">
    <w:name w:val="Comment Text Char"/>
    <w:basedOn w:val="DefaultParagraphFont"/>
    <w:link w:val="CommentText"/>
    <w:uiPriority w:val="99"/>
    <w:rsid w:val="00FC1A47"/>
    <w:rPr>
      <w:sz w:val="20"/>
      <w:szCs w:val="20"/>
    </w:rPr>
  </w:style>
  <w:style w:type="paragraph" w:styleId="CommentSubject">
    <w:name w:val="annotation subject"/>
    <w:basedOn w:val="CommentText"/>
    <w:next w:val="CommentText"/>
    <w:link w:val="CommentSubjectChar"/>
    <w:uiPriority w:val="99"/>
    <w:semiHidden/>
    <w:unhideWhenUsed/>
    <w:rsid w:val="00FC1A47"/>
    <w:rPr>
      <w:b/>
      <w:bCs/>
    </w:rPr>
  </w:style>
  <w:style w:type="character" w:customStyle="1" w:styleId="CommentSubjectChar">
    <w:name w:val="Comment Subject Char"/>
    <w:basedOn w:val="CommentTextChar"/>
    <w:link w:val="CommentSubject"/>
    <w:uiPriority w:val="99"/>
    <w:semiHidden/>
    <w:rsid w:val="00FC1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5</cp:revision>
  <dcterms:created xsi:type="dcterms:W3CDTF">2023-01-12T22:46:00Z</dcterms:created>
  <dcterms:modified xsi:type="dcterms:W3CDTF">2023-01-16T13:21:00Z</dcterms:modified>
</cp:coreProperties>
</file>