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8D4" w:rsidRPr="004478D4" w:rsidRDefault="004478D4" w:rsidP="004478D4">
      <w:pPr>
        <w:shd w:val="clear" w:color="auto" w:fill="FFFFFF"/>
        <w:spacing w:after="120" w:line="240" w:lineRule="auto"/>
        <w:ind w:left="795"/>
        <w:jc w:val="center"/>
        <w:outlineLvl w:val="1"/>
        <w:rPr>
          <w:rFonts w:ascii="Arial" w:eastAsia="Times New Roman" w:hAnsi="Arial" w:cs="Arial"/>
          <w:b/>
          <w:bCs/>
          <w:color w:val="19191A"/>
          <w:sz w:val="36"/>
          <w:szCs w:val="36"/>
          <w:lang w:eastAsia="it-IT"/>
        </w:rPr>
      </w:pPr>
      <w:r w:rsidRPr="004478D4">
        <w:rPr>
          <w:rFonts w:ascii="Arial" w:eastAsia="Times New Roman" w:hAnsi="Arial" w:cs="Arial"/>
          <w:b/>
          <w:bCs/>
          <w:color w:val="19191A"/>
          <w:sz w:val="36"/>
          <w:szCs w:val="36"/>
          <w:lang w:eastAsia="it-IT"/>
        </w:rPr>
        <w:t>Art. 2</w:t>
      </w:r>
      <w:bookmarkStart w:id="0" w:name="_GoBack"/>
      <w:bookmarkEnd w:id="0"/>
    </w:p>
    <w:p w:rsidR="004478D4" w:rsidRPr="004478D4" w:rsidRDefault="004478D4" w:rsidP="004478D4">
      <w:pPr>
        <w:shd w:val="clear" w:color="auto" w:fill="FFFFFF"/>
        <w:spacing w:after="0" w:line="240" w:lineRule="auto"/>
        <w:ind w:left="795"/>
        <w:jc w:val="center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r w:rsidRPr="004478D4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Ambito di applicazione</w:t>
      </w:r>
    </w:p>
    <w:p w:rsidR="004478D4" w:rsidRPr="004478D4" w:rsidRDefault="004478D4" w:rsidP="004478D4">
      <w:pPr>
        <w:shd w:val="clear" w:color="auto" w:fill="FFFFFF"/>
        <w:spacing w:after="0" w:line="240" w:lineRule="auto"/>
        <w:ind w:left="795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r w:rsidRPr="004478D4">
        <w:rPr>
          <w:rFonts w:ascii="Arial" w:eastAsia="Times New Roman" w:hAnsi="Arial" w:cs="Arial"/>
          <w:b/>
          <w:bCs/>
          <w:color w:val="19191A"/>
          <w:sz w:val="27"/>
          <w:szCs w:val="27"/>
          <w:lang w:eastAsia="it-IT"/>
        </w:rPr>
        <w:t>1. </w:t>
      </w:r>
      <w:r w:rsidRPr="004478D4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Il presente decreto si applica alle pubbliche amministrazioni di cui all'</w:t>
      </w:r>
      <w:hyperlink r:id="rId5" w:tgtFrame="_blank" w:history="1">
        <w:r w:rsidRPr="004478D4">
          <w:rPr>
            <w:rFonts w:ascii="Arial" w:eastAsia="Times New Roman" w:hAnsi="Arial" w:cs="Arial"/>
            <w:color w:val="0066CC"/>
            <w:sz w:val="27"/>
            <w:szCs w:val="27"/>
            <w:u w:val="single"/>
            <w:lang w:eastAsia="it-IT"/>
          </w:rPr>
          <w:t>articolo 1, comma 2, del decreto legislativo 30 marzo 2001, n. 165</w:t>
        </w:r>
      </w:hyperlink>
      <w:r w:rsidRPr="004478D4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, nonché ai concessionari dei pubblici servizi limitatamente agli articoli 7 e 8.</w:t>
      </w:r>
      <w:r w:rsidRPr="004478D4">
        <w:rPr>
          <w:rFonts w:ascii="Arial" w:eastAsia="Times New Roman" w:hAnsi="Arial" w:cs="Arial"/>
          <w:color w:val="19191A"/>
          <w:sz w:val="27"/>
          <w:szCs w:val="27"/>
          <w:lang w:eastAsia="it-IT"/>
        </w:rPr>
        <w:br/>
      </w:r>
    </w:p>
    <w:p w:rsidR="004478D4" w:rsidRPr="004478D4" w:rsidRDefault="004478D4" w:rsidP="004478D4">
      <w:pPr>
        <w:shd w:val="clear" w:color="auto" w:fill="FFFFFF"/>
        <w:spacing w:after="0" w:line="240" w:lineRule="auto"/>
        <w:ind w:left="795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r w:rsidRPr="004478D4">
        <w:rPr>
          <w:rFonts w:ascii="Arial" w:eastAsia="Times New Roman" w:hAnsi="Arial" w:cs="Arial"/>
          <w:b/>
          <w:bCs/>
          <w:color w:val="19191A"/>
          <w:sz w:val="27"/>
          <w:szCs w:val="27"/>
          <w:lang w:eastAsia="it-IT"/>
        </w:rPr>
        <w:t>2. </w:t>
      </w:r>
      <w:r w:rsidRPr="004478D4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Le Autorità indipendenti, gli organi costituzionali e di rilievo costituzionale adeguano i propri ordinamenti ai principi del presente decreto nell'ambito della loro autonomia regolamentare e organizzativa.</w:t>
      </w:r>
      <w:r w:rsidRPr="004478D4">
        <w:rPr>
          <w:rFonts w:ascii="Arial" w:eastAsia="Times New Roman" w:hAnsi="Arial" w:cs="Arial"/>
          <w:color w:val="19191A"/>
          <w:sz w:val="27"/>
          <w:szCs w:val="27"/>
          <w:lang w:eastAsia="it-IT"/>
        </w:rPr>
        <w:br/>
      </w:r>
    </w:p>
    <w:p w:rsidR="004478D4" w:rsidRPr="004478D4" w:rsidRDefault="004478D4" w:rsidP="004478D4">
      <w:pPr>
        <w:shd w:val="clear" w:color="auto" w:fill="FFFFFF"/>
        <w:spacing w:after="0" w:line="240" w:lineRule="auto"/>
        <w:ind w:left="795"/>
        <w:rPr>
          <w:rFonts w:ascii="Arial" w:eastAsia="Times New Roman" w:hAnsi="Arial" w:cs="Arial"/>
          <w:color w:val="990000"/>
          <w:sz w:val="27"/>
          <w:szCs w:val="27"/>
          <w:lang w:eastAsia="it-IT"/>
        </w:rPr>
      </w:pPr>
      <w:r w:rsidRPr="004478D4">
        <w:rPr>
          <w:rFonts w:ascii="Arial" w:eastAsia="Times New Roman" w:hAnsi="Arial" w:cs="Arial"/>
          <w:color w:val="990000"/>
          <w:sz w:val="27"/>
          <w:szCs w:val="27"/>
          <w:lang w:eastAsia="it-IT"/>
        </w:rPr>
        <w:t>Note all'art. 2:</w:t>
      </w:r>
      <w:r w:rsidRPr="004478D4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>- Si riporta l'articolo 1 del citato </w:t>
      </w:r>
      <w:hyperlink r:id="rId6" w:tgtFrame="_blank" w:history="1">
        <w:r w:rsidRPr="004478D4">
          <w:rPr>
            <w:rFonts w:ascii="Arial" w:eastAsia="Times New Roman" w:hAnsi="Arial" w:cs="Arial"/>
            <w:color w:val="0066CC"/>
            <w:sz w:val="27"/>
            <w:szCs w:val="27"/>
            <w:u w:val="single"/>
            <w:lang w:eastAsia="it-IT"/>
          </w:rPr>
          <w:t>decreto legislativo 30 marzo 2001, n. 165</w:t>
        </w:r>
      </w:hyperlink>
      <w:r w:rsidRPr="004478D4">
        <w:rPr>
          <w:rFonts w:ascii="Arial" w:eastAsia="Times New Roman" w:hAnsi="Arial" w:cs="Arial"/>
          <w:color w:val="990000"/>
          <w:sz w:val="27"/>
          <w:szCs w:val="27"/>
          <w:lang w:eastAsia="it-IT"/>
        </w:rPr>
        <w:t>:</w:t>
      </w:r>
      <w:r w:rsidRPr="004478D4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>«Art. 1 (Finalità ed ambito di applicazione). - 1.</w:t>
      </w:r>
      <w:r w:rsidRPr="004478D4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>Le disposizioni del presente decreto disciplinano l'organizzazione degli uffici e i rapporti di lavoro e di impiego alle dipendenze delle amministrazioni pubbliche, tenuto conto delle autonomie locali e di quelle delle regioni e delle province autonome, nel rispetto dell'</w:t>
      </w:r>
      <w:hyperlink r:id="rId7" w:tgtFrame="_blank" w:history="1">
        <w:r w:rsidRPr="004478D4">
          <w:rPr>
            <w:rFonts w:ascii="Arial" w:eastAsia="Times New Roman" w:hAnsi="Arial" w:cs="Arial"/>
            <w:color w:val="0066CC"/>
            <w:sz w:val="27"/>
            <w:szCs w:val="27"/>
            <w:u w:val="single"/>
            <w:lang w:eastAsia="it-IT"/>
          </w:rPr>
          <w:t>articolo 97, comma primo, della Costituzione</w:t>
        </w:r>
      </w:hyperlink>
      <w:r w:rsidRPr="004478D4">
        <w:rPr>
          <w:rFonts w:ascii="Arial" w:eastAsia="Times New Roman" w:hAnsi="Arial" w:cs="Arial"/>
          <w:color w:val="990000"/>
          <w:sz w:val="27"/>
          <w:szCs w:val="27"/>
          <w:lang w:eastAsia="it-IT"/>
        </w:rPr>
        <w:t>, al fine di:</w:t>
      </w:r>
      <w:r w:rsidRPr="004478D4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>a) accrescere l'efficienza delle amministrazioni in relazione a quella dei corrispondenti uffici e servizi dei Paesi dell'Unione europea, anche mediante il coordinato sviluppo di sistemi informativi pubblici;</w:t>
      </w:r>
      <w:r w:rsidRPr="004478D4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>b) razionalizzare il costo del lavoro pubblico, contenendo la spesa complessiva per il personale, diretta e indiretta, entro i vincoli di finanza pubblica;</w:t>
      </w:r>
      <w:r w:rsidRPr="004478D4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>c) realizzare la migliore utilizzazione delle risorse umane nelle pubbliche amministrazioni, assicurando la formazione e lo sviluppo professionale dei dipendenti, applicando condizioni uniformi rispetto a quelle del lavoro privato, garantendo pari opportunità alle lavoratrici ed ai lavoratori nonché l'assenza di qualunque forma di discriminazione e di violenza morale o psichica.</w:t>
      </w:r>
      <w:r w:rsidRPr="004478D4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 xml:space="preserve">2. Per amministrazioni pubbliche si intendono tutte le amministrazioni dello Stato, ivi compresi gli istituti e scuole di ogni ordine e grado e le istituzioni educative, le aziende ed amministrazioni dello Stato ad ordinamento autonomo, le Regioni, le Province, i Comuni, le Comunità montane, e loro consorzi e associazioni, le istituzioni universitarie, gli Istituti autonomi case popolari, le Camere di commercio, industria, artigianato e agricoltura e loro associazioni, tutti gli enti pubblici non economici nazionali, regionali e locali, le amministrazioni, le aziende e gli enti del Servizio sanitario nazionale, l'Agenzia per la rappresentanza negoziale delle pubbliche amministrazioni (ARAN) e le Agenzie di cui </w:t>
      </w:r>
      <w:proofErr w:type="spellStart"/>
      <w:r w:rsidRPr="004478D4">
        <w:rPr>
          <w:rFonts w:ascii="Arial" w:eastAsia="Times New Roman" w:hAnsi="Arial" w:cs="Arial"/>
          <w:color w:val="990000"/>
          <w:sz w:val="27"/>
          <w:szCs w:val="27"/>
          <w:lang w:eastAsia="it-IT"/>
        </w:rPr>
        <w:t>aldecreto</w:t>
      </w:r>
      <w:proofErr w:type="spellEnd"/>
      <w:r w:rsidRPr="004478D4">
        <w:rPr>
          <w:rFonts w:ascii="Arial" w:eastAsia="Times New Roman" w:hAnsi="Arial" w:cs="Arial"/>
          <w:color w:val="990000"/>
          <w:sz w:val="27"/>
          <w:szCs w:val="27"/>
          <w:lang w:eastAsia="it-IT"/>
        </w:rPr>
        <w:t xml:space="preserve"> legislativo 30 luglio 1999, n. 300. Fino alla revisione organica della disciplina di settore, le disposizioni di cui al presente decreto continuano ad applicarsi anche al CONI.</w:t>
      </w:r>
      <w:r w:rsidRPr="004478D4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 xml:space="preserve">3. Le disposizioni del presente decreto costituiscono principi fondamentali </w:t>
      </w:r>
      <w:r w:rsidRPr="004478D4">
        <w:rPr>
          <w:rFonts w:ascii="Arial" w:eastAsia="Times New Roman" w:hAnsi="Arial" w:cs="Arial"/>
          <w:color w:val="990000"/>
          <w:sz w:val="27"/>
          <w:szCs w:val="27"/>
          <w:lang w:eastAsia="it-IT"/>
        </w:rPr>
        <w:lastRenderedPageBreak/>
        <w:t>ai sensi dell'articolo 117 della Costituzione. Le Regioni a statuto ordinario si attengono ad esse tenendo conto delle peculiarità dei rispettivi ordinamenti. I principi desumibili dall'</w:t>
      </w:r>
      <w:hyperlink r:id="rId8" w:tgtFrame="_blank" w:history="1">
        <w:r w:rsidRPr="004478D4">
          <w:rPr>
            <w:rFonts w:ascii="Arial" w:eastAsia="Times New Roman" w:hAnsi="Arial" w:cs="Arial"/>
            <w:color w:val="0066CC"/>
            <w:sz w:val="27"/>
            <w:szCs w:val="27"/>
            <w:u w:val="single"/>
            <w:lang w:eastAsia="it-IT"/>
          </w:rPr>
          <w:t>articolo 2 della legge 23 ottobre 1992, n. 421</w:t>
        </w:r>
      </w:hyperlink>
      <w:r w:rsidRPr="004478D4">
        <w:rPr>
          <w:rFonts w:ascii="Arial" w:eastAsia="Times New Roman" w:hAnsi="Arial" w:cs="Arial"/>
          <w:color w:val="990000"/>
          <w:sz w:val="27"/>
          <w:szCs w:val="27"/>
          <w:lang w:eastAsia="it-IT"/>
        </w:rPr>
        <w:t>, e successive modificazioni, e dall'</w:t>
      </w:r>
      <w:hyperlink r:id="rId9" w:tgtFrame="_blank" w:history="1">
        <w:r w:rsidRPr="004478D4">
          <w:rPr>
            <w:rFonts w:ascii="Arial" w:eastAsia="Times New Roman" w:hAnsi="Arial" w:cs="Arial"/>
            <w:color w:val="0066CC"/>
            <w:sz w:val="27"/>
            <w:szCs w:val="27"/>
            <w:u w:val="single"/>
            <w:lang w:eastAsia="it-IT"/>
          </w:rPr>
          <w:t>articolo 11, comma 4, della legge 15 marzo 1997, n. 59</w:t>
        </w:r>
      </w:hyperlink>
      <w:r w:rsidRPr="004478D4">
        <w:rPr>
          <w:rFonts w:ascii="Arial" w:eastAsia="Times New Roman" w:hAnsi="Arial" w:cs="Arial"/>
          <w:color w:val="990000"/>
          <w:sz w:val="27"/>
          <w:szCs w:val="27"/>
          <w:lang w:eastAsia="it-IT"/>
        </w:rPr>
        <w:t>, e successive modificazioni ed integrazioni, costituiscono altresì, per le Regioni a statuto speciale e per le province autonome di Trento e di Bolzano, norme fondamentali di riforma economico-sociale della Repubblica.»</w:t>
      </w:r>
    </w:p>
    <w:p w:rsidR="004478D4" w:rsidRPr="004478D4" w:rsidRDefault="004478D4" w:rsidP="004478D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hyperlink r:id="rId10" w:history="1">
        <w:r w:rsidRPr="004478D4">
          <w:rPr>
            <w:rFonts w:ascii="Arial" w:eastAsia="Times New Roman" w:hAnsi="Arial" w:cs="Arial"/>
            <w:b/>
            <w:bCs/>
            <w:color w:val="19191A"/>
            <w:sz w:val="24"/>
            <w:szCs w:val="24"/>
            <w:lang w:eastAsia="it-IT"/>
          </w:rPr>
          <w:t> </w:t>
        </w:r>
        <w:r w:rsidRPr="004478D4">
          <w:rPr>
            <w:rFonts w:ascii="Arial" w:eastAsia="Times New Roman" w:hAnsi="Arial" w:cs="Arial"/>
            <w:b/>
            <w:bCs/>
            <w:color w:val="19191A"/>
            <w:sz w:val="24"/>
            <w:szCs w:val="24"/>
            <w:u w:val="single"/>
            <w:lang w:eastAsia="it-IT"/>
          </w:rPr>
          <w:t xml:space="preserve">articolo </w:t>
        </w:r>
        <w:proofErr w:type="spellStart"/>
        <w:r w:rsidRPr="004478D4">
          <w:rPr>
            <w:rFonts w:ascii="Arial" w:eastAsia="Times New Roman" w:hAnsi="Arial" w:cs="Arial"/>
            <w:b/>
            <w:bCs/>
            <w:color w:val="19191A"/>
            <w:sz w:val="24"/>
            <w:szCs w:val="24"/>
            <w:u w:val="single"/>
            <w:lang w:eastAsia="it-IT"/>
          </w:rPr>
          <w:t>precedente</w:t>
        </w:r>
      </w:hyperlink>
      <w:hyperlink r:id="rId11" w:history="1">
        <w:r w:rsidRPr="004478D4">
          <w:rPr>
            <w:rFonts w:ascii="Arial" w:eastAsia="Times New Roman" w:hAnsi="Arial" w:cs="Arial"/>
            <w:b/>
            <w:bCs/>
            <w:color w:val="19191A"/>
            <w:sz w:val="24"/>
            <w:szCs w:val="24"/>
            <w:u w:val="single"/>
            <w:lang w:eastAsia="it-IT"/>
          </w:rPr>
          <w:t>articolo</w:t>
        </w:r>
        <w:proofErr w:type="spellEnd"/>
        <w:r w:rsidRPr="004478D4">
          <w:rPr>
            <w:rFonts w:ascii="Arial" w:eastAsia="Times New Roman" w:hAnsi="Arial" w:cs="Arial"/>
            <w:b/>
            <w:bCs/>
            <w:color w:val="19191A"/>
            <w:sz w:val="24"/>
            <w:szCs w:val="24"/>
            <w:u w:val="single"/>
            <w:lang w:eastAsia="it-IT"/>
          </w:rPr>
          <w:t xml:space="preserve"> successivo</w:t>
        </w:r>
        <w:r w:rsidRPr="004478D4">
          <w:rPr>
            <w:rFonts w:ascii="Arial" w:eastAsia="Times New Roman" w:hAnsi="Arial" w:cs="Arial"/>
            <w:b/>
            <w:bCs/>
            <w:color w:val="19191A"/>
            <w:sz w:val="24"/>
            <w:szCs w:val="24"/>
            <w:lang w:eastAsia="it-IT"/>
          </w:rPr>
          <w:t> </w:t>
        </w:r>
      </w:hyperlink>
    </w:p>
    <w:p w:rsidR="004478D4" w:rsidRPr="004478D4" w:rsidRDefault="004478D4" w:rsidP="004478D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hyperlink r:id="rId12" w:history="1">
        <w:r w:rsidRPr="004478D4">
          <w:rPr>
            <w:rFonts w:ascii="Arial" w:eastAsia="Times New Roman" w:hAnsi="Arial" w:cs="Arial"/>
            <w:color w:val="0066CC"/>
            <w:sz w:val="27"/>
            <w:szCs w:val="27"/>
            <w:u w:val="single"/>
            <w:lang w:eastAsia="it-IT"/>
          </w:rPr>
          <w:t>nascondi </w:t>
        </w:r>
      </w:hyperlink>
    </w:p>
    <w:p w:rsidR="004478D4" w:rsidRPr="004478D4" w:rsidRDefault="004478D4" w:rsidP="004478D4">
      <w:pPr>
        <w:numPr>
          <w:ilvl w:val="1"/>
          <w:numId w:val="1"/>
        </w:numPr>
        <w:shd w:val="clear" w:color="auto" w:fill="FFFFFF"/>
        <w:spacing w:before="75" w:after="100" w:afterAutospacing="1" w:line="240" w:lineRule="auto"/>
        <w:outlineLvl w:val="2"/>
        <w:rPr>
          <w:rFonts w:ascii="Arial" w:eastAsia="Times New Roman" w:hAnsi="Arial" w:cs="Arial"/>
          <w:b/>
          <w:bCs/>
          <w:caps/>
          <w:color w:val="17324D"/>
          <w:spacing w:val="15"/>
          <w:lang w:eastAsia="it-IT"/>
        </w:rPr>
      </w:pPr>
      <w:r w:rsidRPr="004478D4">
        <w:rPr>
          <w:rFonts w:ascii="Arial" w:eastAsia="Times New Roman" w:hAnsi="Arial" w:cs="Arial"/>
          <w:b/>
          <w:bCs/>
          <w:caps/>
          <w:color w:val="17324D"/>
          <w:spacing w:val="15"/>
          <w:lang w:eastAsia="it-IT"/>
        </w:rPr>
        <w:t>Approfondimenti</w:t>
      </w:r>
    </w:p>
    <w:p w:rsidR="004478D4" w:rsidRPr="004478D4" w:rsidRDefault="004478D4" w:rsidP="004478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</w:p>
    <w:p w:rsidR="004478D4" w:rsidRPr="004478D4" w:rsidRDefault="004478D4" w:rsidP="004478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r w:rsidRPr="004478D4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atti aggiornati</w:t>
      </w:r>
    </w:p>
    <w:p w:rsidR="004478D4" w:rsidRPr="004478D4" w:rsidRDefault="004478D4" w:rsidP="004478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r w:rsidRPr="004478D4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atti correlati</w:t>
      </w:r>
    </w:p>
    <w:p w:rsidR="004478D4" w:rsidRPr="004478D4" w:rsidRDefault="004478D4" w:rsidP="004478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</w:p>
    <w:p w:rsidR="004478D4" w:rsidRPr="004478D4" w:rsidRDefault="004478D4" w:rsidP="004478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</w:p>
    <w:p w:rsidR="004478D4" w:rsidRPr="004478D4" w:rsidRDefault="004478D4" w:rsidP="004478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</w:p>
    <w:p w:rsidR="004478D4" w:rsidRPr="004478D4" w:rsidRDefault="004478D4" w:rsidP="004478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</w:p>
    <w:p w:rsidR="004478D4" w:rsidRPr="004478D4" w:rsidRDefault="004478D4" w:rsidP="004478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</w:p>
    <w:p w:rsidR="004478D4" w:rsidRPr="004478D4" w:rsidRDefault="004478D4" w:rsidP="004478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r w:rsidRPr="004478D4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atti parlamentari</w:t>
      </w:r>
    </w:p>
    <w:p w:rsidR="004478D4" w:rsidRPr="004478D4" w:rsidRDefault="004478D4" w:rsidP="004478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</w:p>
    <w:p w:rsidR="004478D4" w:rsidRPr="004478D4" w:rsidRDefault="004478D4" w:rsidP="004478D4">
      <w:pPr>
        <w:numPr>
          <w:ilvl w:val="1"/>
          <w:numId w:val="1"/>
        </w:numPr>
        <w:shd w:val="clear" w:color="auto" w:fill="FFFFFF"/>
        <w:spacing w:before="75" w:after="100" w:afterAutospacing="1" w:line="240" w:lineRule="auto"/>
        <w:outlineLvl w:val="2"/>
        <w:rPr>
          <w:rFonts w:ascii="Arial" w:eastAsia="Times New Roman" w:hAnsi="Arial" w:cs="Arial"/>
          <w:b/>
          <w:bCs/>
          <w:caps/>
          <w:color w:val="17324D"/>
          <w:spacing w:val="15"/>
          <w:lang w:eastAsia="it-IT"/>
        </w:rPr>
      </w:pPr>
      <w:r w:rsidRPr="004478D4">
        <w:rPr>
          <w:rFonts w:ascii="Arial" w:eastAsia="Times New Roman" w:hAnsi="Arial" w:cs="Arial"/>
          <w:b/>
          <w:bCs/>
          <w:caps/>
          <w:color w:val="17324D"/>
          <w:spacing w:val="15"/>
          <w:lang w:eastAsia="it-IT"/>
        </w:rPr>
        <w:t>Funzioni</w:t>
      </w:r>
    </w:p>
    <w:p w:rsidR="004478D4" w:rsidRPr="004478D4" w:rsidRDefault="004478D4" w:rsidP="004478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hyperlink r:id="rId13" w:tgtFrame="_blank" w:history="1">
        <w:r w:rsidRPr="004478D4">
          <w:rPr>
            <w:rFonts w:ascii="Arial" w:eastAsia="Times New Roman" w:hAnsi="Arial" w:cs="Arial"/>
            <w:b/>
            <w:bCs/>
            <w:color w:val="0066CC"/>
            <w:sz w:val="21"/>
            <w:szCs w:val="21"/>
            <w:lang w:eastAsia="it-IT"/>
          </w:rPr>
          <w:t>esporta</w:t>
        </w:r>
      </w:hyperlink>
    </w:p>
    <w:p w:rsidR="004478D4" w:rsidRPr="004478D4" w:rsidRDefault="004478D4" w:rsidP="004478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hyperlink r:id="rId14" w:tgtFrame="_blank" w:history="1">
        <w:r w:rsidRPr="004478D4">
          <w:rPr>
            <w:rFonts w:ascii="Arial" w:eastAsia="Times New Roman" w:hAnsi="Arial" w:cs="Arial"/>
            <w:b/>
            <w:bCs/>
            <w:color w:val="0066CC"/>
            <w:sz w:val="21"/>
            <w:szCs w:val="21"/>
            <w:lang w:eastAsia="it-IT"/>
          </w:rPr>
          <w:t xml:space="preserve">esporta in </w:t>
        </w:r>
        <w:proofErr w:type="spellStart"/>
        <w:r w:rsidRPr="004478D4">
          <w:rPr>
            <w:rFonts w:ascii="Arial" w:eastAsia="Times New Roman" w:hAnsi="Arial" w:cs="Arial"/>
            <w:b/>
            <w:bCs/>
            <w:color w:val="0066CC"/>
            <w:sz w:val="21"/>
            <w:szCs w:val="21"/>
            <w:lang w:eastAsia="it-IT"/>
          </w:rPr>
          <w:t>Akoma</w:t>
        </w:r>
        <w:proofErr w:type="spellEnd"/>
        <w:r w:rsidRPr="004478D4">
          <w:rPr>
            <w:rFonts w:ascii="Arial" w:eastAsia="Times New Roman" w:hAnsi="Arial" w:cs="Arial"/>
            <w:b/>
            <w:bCs/>
            <w:color w:val="0066CC"/>
            <w:sz w:val="21"/>
            <w:szCs w:val="21"/>
            <w:lang w:eastAsia="it-IT"/>
          </w:rPr>
          <w:t xml:space="preserve"> </w:t>
        </w:r>
        <w:proofErr w:type="spellStart"/>
        <w:r w:rsidRPr="004478D4">
          <w:rPr>
            <w:rFonts w:ascii="Arial" w:eastAsia="Times New Roman" w:hAnsi="Arial" w:cs="Arial"/>
            <w:b/>
            <w:bCs/>
            <w:color w:val="0066CC"/>
            <w:sz w:val="21"/>
            <w:szCs w:val="21"/>
            <w:lang w:eastAsia="it-IT"/>
          </w:rPr>
          <w:t>ntoso</w:t>
        </w:r>
        <w:proofErr w:type="spellEnd"/>
      </w:hyperlink>
    </w:p>
    <w:p w:rsidR="00685FB0" w:rsidRPr="004478D4" w:rsidRDefault="004478D4" w:rsidP="004478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r w:rsidRPr="004478D4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collegamento permanente</w:t>
      </w:r>
    </w:p>
    <w:sectPr w:rsidR="00685FB0" w:rsidRPr="004478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A041B"/>
    <w:multiLevelType w:val="multilevel"/>
    <w:tmpl w:val="59E8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26"/>
    <w:rsid w:val="004478D4"/>
    <w:rsid w:val="00685FB0"/>
    <w:rsid w:val="00D4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A2F02"/>
  <w15:chartTrackingRefBased/>
  <w15:docId w15:val="{87CBDC53-A375-4C0E-8C18-A74EFD2B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4478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4478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4478D4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478D4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comma-num-akn">
    <w:name w:val="comma-num-akn"/>
    <w:basedOn w:val="Carpredefinitoparagrafo"/>
    <w:rsid w:val="004478D4"/>
  </w:style>
  <w:style w:type="character" w:customStyle="1" w:styleId="arttextincomma">
    <w:name w:val="art_text_in_comma"/>
    <w:basedOn w:val="Carpredefinitoparagrafo"/>
    <w:rsid w:val="004478D4"/>
  </w:style>
  <w:style w:type="character" w:styleId="Collegamentoipertestuale">
    <w:name w:val="Hyperlink"/>
    <w:basedOn w:val="Carpredefinitoparagrafo"/>
    <w:uiPriority w:val="99"/>
    <w:semiHidden/>
    <w:unhideWhenUsed/>
    <w:rsid w:val="004478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4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3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96183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1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03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73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68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87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9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9DADB"/>
                    <w:bottom w:val="none" w:sz="0" w:space="0" w:color="auto"/>
                    <w:right w:val="none" w:sz="0" w:space="0" w:color="auto"/>
                  </w:divBdr>
                  <w:divsChild>
                    <w:div w:id="77013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99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653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9DADB"/>
                    <w:bottom w:val="none" w:sz="0" w:space="0" w:color="auto"/>
                    <w:right w:val="none" w:sz="0" w:space="0" w:color="auto"/>
                  </w:divBdr>
                  <w:divsChild>
                    <w:div w:id="39998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5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1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16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1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268071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06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53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32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227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56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9DADB"/>
                    <w:bottom w:val="none" w:sz="0" w:space="0" w:color="auto"/>
                    <w:right w:val="none" w:sz="0" w:space="0" w:color="auto"/>
                  </w:divBdr>
                  <w:divsChild>
                    <w:div w:id="132323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1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03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9DADB"/>
                    <w:bottom w:val="none" w:sz="0" w:space="0" w:color="auto"/>
                    <w:right w:val="none" w:sz="0" w:space="0" w:color="auto"/>
                  </w:divBdr>
                  <w:divsChild>
                    <w:div w:id="186459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8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rmattiva.it/uri-res/N2Ls?urn:nir:stato:legge:1992-10-23;421~art2" TargetMode="External"/><Relationship Id="rId13" Type="http://schemas.openxmlformats.org/officeDocument/2006/relationships/hyperlink" Target="https://www.normattiva.it/atto/vediMenuExport?atto.dataPubblicazioneGazzetta=2024-01-12&amp;atto.codiceRedazionale=24G00004&amp;currentSearch=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ormattiva.it/uri-res/N2Ls?urn:nir:stato:costituzione:1947-12-27~art97-com1" TargetMode="External"/><Relationship Id="rId12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normattiva.it/uri-res/N2Ls?urn:nir:stato:decreto.legislativo:2001-03-30;165" TargetMode="External"/><Relationship Id="rId11" Type="http://schemas.openxmlformats.org/officeDocument/2006/relationships/hyperlink" Target="javascript:" TargetMode="External"/><Relationship Id="rId5" Type="http://schemas.openxmlformats.org/officeDocument/2006/relationships/hyperlink" Target="https://www.normattiva.it/uri-res/N2Ls?urn:nir:stato:decreto.legislativo:2001-03-30;165~art1-com2" TargetMode="External"/><Relationship Id="rId15" Type="http://schemas.openxmlformats.org/officeDocument/2006/relationships/fontTable" Target="fontTable.xml"/><Relationship Id="rId10" Type="http://schemas.openxmlformats.org/officeDocument/2006/relationships/hyperlink" Target="javascript: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ormattiva.it/uri-res/N2Ls?urn:nir:stato:legge:1997-03-15;59~art11-com4" TargetMode="External"/><Relationship Id="rId14" Type="http://schemas.openxmlformats.org/officeDocument/2006/relationships/hyperlink" Target="https://www.normattiva.it/do/atto/caricaAKN?dataGU=20240112&amp;codiceRedaz=24G00004&amp;dataVigenza=20250428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651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PACINI_CARMEN</dc:creator>
  <cp:keywords/>
  <dc:description/>
  <cp:lastModifiedBy>PACINI_CARMEN</cp:lastModifiedBy>
  <cp:revision>2</cp:revision>
  <dcterms:created xsi:type="dcterms:W3CDTF">2025-04-28T09:19:00Z</dcterms:created>
  <dcterms:modified xsi:type="dcterms:W3CDTF">2025-04-28T09:19:00Z</dcterms:modified>
</cp:coreProperties>
</file>