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27F" w:rsidRPr="008E327F" w:rsidRDefault="008E327F" w:rsidP="008E327F">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8E327F">
        <w:rPr>
          <w:rFonts w:ascii="Arial" w:eastAsia="Times New Roman" w:hAnsi="Arial" w:cs="Arial"/>
          <w:b/>
          <w:bCs/>
          <w:color w:val="19191A"/>
          <w:sz w:val="36"/>
          <w:szCs w:val="36"/>
          <w:lang w:eastAsia="it-IT"/>
        </w:rPr>
        <w:t>Art. 3</w:t>
      </w:r>
    </w:p>
    <w:p w:rsidR="008E327F" w:rsidRPr="008E327F" w:rsidRDefault="008E327F" w:rsidP="008E327F">
      <w:pPr>
        <w:shd w:val="clear" w:color="auto" w:fill="FFFFFF"/>
        <w:spacing w:after="0" w:line="240" w:lineRule="auto"/>
        <w:jc w:val="center"/>
        <w:rPr>
          <w:rFonts w:ascii="Arial" w:eastAsia="Times New Roman" w:hAnsi="Arial" w:cs="Arial"/>
          <w:color w:val="19191A"/>
          <w:sz w:val="27"/>
          <w:szCs w:val="27"/>
          <w:lang w:eastAsia="it-IT"/>
        </w:rPr>
      </w:pPr>
      <w:r w:rsidRPr="008E327F">
        <w:rPr>
          <w:rFonts w:ascii="Arial" w:eastAsia="Times New Roman" w:hAnsi="Arial" w:cs="Arial"/>
          <w:color w:val="19191A"/>
          <w:sz w:val="27"/>
          <w:szCs w:val="27"/>
          <w:lang w:eastAsia="it-IT"/>
        </w:rPr>
        <w:t>Piano integrato di attività e organizzazione</w:t>
      </w:r>
    </w:p>
    <w:p w:rsidR="008E327F" w:rsidRPr="008E327F" w:rsidRDefault="008E327F" w:rsidP="008E327F">
      <w:pPr>
        <w:shd w:val="clear" w:color="auto" w:fill="FFFFFF"/>
        <w:spacing w:after="0" w:line="240" w:lineRule="auto"/>
        <w:rPr>
          <w:rFonts w:ascii="Arial" w:eastAsia="Times New Roman" w:hAnsi="Arial" w:cs="Arial"/>
          <w:color w:val="19191A"/>
          <w:sz w:val="27"/>
          <w:szCs w:val="27"/>
          <w:lang w:eastAsia="it-IT"/>
        </w:rPr>
      </w:pPr>
      <w:r w:rsidRPr="008E327F">
        <w:rPr>
          <w:rFonts w:ascii="Arial" w:eastAsia="Times New Roman" w:hAnsi="Arial" w:cs="Arial"/>
          <w:b/>
          <w:bCs/>
          <w:color w:val="19191A"/>
          <w:sz w:val="27"/>
          <w:szCs w:val="27"/>
          <w:lang w:eastAsia="it-IT"/>
        </w:rPr>
        <w:t>1. </w:t>
      </w:r>
      <w:r w:rsidRPr="008E327F">
        <w:rPr>
          <w:rFonts w:ascii="Arial" w:eastAsia="Times New Roman" w:hAnsi="Arial" w:cs="Arial"/>
          <w:color w:val="19191A"/>
          <w:sz w:val="27"/>
          <w:szCs w:val="27"/>
          <w:lang w:eastAsia="it-IT"/>
        </w:rPr>
        <w:t>All'</w:t>
      </w:r>
      <w:hyperlink r:id="rId4" w:tgtFrame="_blank" w:history="1">
        <w:r w:rsidRPr="008E327F">
          <w:rPr>
            <w:rFonts w:ascii="Arial" w:eastAsia="Times New Roman" w:hAnsi="Arial" w:cs="Arial"/>
            <w:color w:val="0066CC"/>
            <w:sz w:val="27"/>
            <w:szCs w:val="27"/>
            <w:u w:val="single"/>
            <w:lang w:eastAsia="it-IT"/>
          </w:rPr>
          <w:t>articolo 6 del decreto-legge 9 giugno 2021, n. 80</w:t>
        </w:r>
      </w:hyperlink>
      <w:r w:rsidRPr="008E327F">
        <w:rPr>
          <w:rFonts w:ascii="Arial" w:eastAsia="Times New Roman" w:hAnsi="Arial" w:cs="Arial"/>
          <w:color w:val="19191A"/>
          <w:sz w:val="27"/>
          <w:szCs w:val="27"/>
          <w:lang w:eastAsia="it-IT"/>
        </w:rPr>
        <w:t>, convertito, con modificazioni, dalla </w:t>
      </w:r>
      <w:hyperlink r:id="rId5" w:tgtFrame="_blank" w:history="1">
        <w:r w:rsidRPr="008E327F">
          <w:rPr>
            <w:rFonts w:ascii="Arial" w:eastAsia="Times New Roman" w:hAnsi="Arial" w:cs="Arial"/>
            <w:color w:val="0066CC"/>
            <w:sz w:val="27"/>
            <w:szCs w:val="27"/>
            <w:u w:val="single"/>
            <w:lang w:eastAsia="it-IT"/>
          </w:rPr>
          <w:t>legge 6 agosto 2021, n. 113</w:t>
        </w:r>
      </w:hyperlink>
      <w:r w:rsidRPr="008E327F">
        <w:rPr>
          <w:rFonts w:ascii="Arial" w:eastAsia="Times New Roman" w:hAnsi="Arial" w:cs="Arial"/>
          <w:color w:val="19191A"/>
          <w:sz w:val="27"/>
          <w:szCs w:val="27"/>
          <w:lang w:eastAsia="it-IT"/>
        </w:rPr>
        <w:t>, dopo il comma 2, sono inseriti i seguenti:</w:t>
      </w:r>
      <w:r w:rsidRPr="008E327F">
        <w:rPr>
          <w:rFonts w:ascii="Arial" w:eastAsia="Times New Roman" w:hAnsi="Arial" w:cs="Arial"/>
          <w:color w:val="19191A"/>
          <w:sz w:val="27"/>
          <w:szCs w:val="27"/>
          <w:lang w:eastAsia="it-IT"/>
        </w:rPr>
        <w:br/>
        <w:t>«2-bis. Le pubbliche amministrazioni di cui al comma 1, nell'ambito del personale in servizio, individuano un dirigente amministrativo ovvero un altro dipendente ad esso equiparato, che abbia esperienza sui temi dell'inclusione sociale e dell'accessibilità delle persone con disabilità anche comprovata da specifica formazione, che definisce specificatamente le modalità e le azioni di cui al comma 2, lettera f), proponendo la relativa definizione degli obiettivi programmatici e strategici della performance di cui al comma 2, lettera a), e della relativa strategia di gestione del capitale umano e di sviluppo organizzativo e degli obiettivi formativi annuali e pluriennali di cui al comma 2, lettera b). Le predette funzioni possono essere assolte anche dal responsabile del processo di inserimento delle persone con disabilità nell'ambiente di lavoro di cui all'articolo 39-ter, comma 1, del citato </w:t>
      </w:r>
      <w:hyperlink r:id="rId6" w:tgtFrame="_blank" w:history="1">
        <w:r w:rsidRPr="008E327F">
          <w:rPr>
            <w:rFonts w:ascii="Arial" w:eastAsia="Times New Roman" w:hAnsi="Arial" w:cs="Arial"/>
            <w:color w:val="0066CC"/>
            <w:sz w:val="27"/>
            <w:szCs w:val="27"/>
            <w:u w:val="single"/>
            <w:lang w:eastAsia="it-IT"/>
          </w:rPr>
          <w:t>decreto legislativo n. 165 del 2001</w:t>
        </w:r>
      </w:hyperlink>
      <w:r w:rsidRPr="008E327F">
        <w:rPr>
          <w:rFonts w:ascii="Arial" w:eastAsia="Times New Roman" w:hAnsi="Arial" w:cs="Arial"/>
          <w:color w:val="19191A"/>
          <w:sz w:val="27"/>
          <w:szCs w:val="27"/>
          <w:lang w:eastAsia="it-IT"/>
        </w:rPr>
        <w:t>, ove dotato di qualifica dirigenziale. I nominativi dei soggetti individuati ai sensi del presente comma sono comunicati alla Presidenza del Consiglio dei ministri - Dipartimento della funzione pubblica.</w:t>
      </w:r>
      <w:r w:rsidRPr="008E327F">
        <w:rPr>
          <w:rFonts w:ascii="Arial" w:eastAsia="Times New Roman" w:hAnsi="Arial" w:cs="Arial"/>
          <w:color w:val="19191A"/>
          <w:sz w:val="27"/>
          <w:szCs w:val="27"/>
          <w:lang w:eastAsia="it-IT"/>
        </w:rPr>
        <w:br/>
        <w:t>2-ter. Le pubbliche amministrazioni di cui al comma 1, con meno di cinquanta dipendenti, possono eventualmente applicare le previsioni di cui al comma 2-bis, anche ricorrendo a forme di gestione associata».</w:t>
      </w:r>
      <w:r w:rsidRPr="008E327F">
        <w:rPr>
          <w:rFonts w:ascii="Arial" w:eastAsia="Times New Roman" w:hAnsi="Arial" w:cs="Arial"/>
          <w:color w:val="19191A"/>
          <w:sz w:val="27"/>
          <w:szCs w:val="27"/>
          <w:lang w:eastAsia="it-IT"/>
        </w:rPr>
        <w:br/>
      </w:r>
    </w:p>
    <w:p w:rsidR="00777081" w:rsidRPr="008E327F" w:rsidRDefault="008E327F" w:rsidP="008E327F">
      <w:pPr>
        <w:shd w:val="clear" w:color="auto" w:fill="FFFFFF"/>
        <w:spacing w:after="0" w:line="240" w:lineRule="auto"/>
        <w:rPr>
          <w:rFonts w:ascii="Arial" w:eastAsia="Times New Roman" w:hAnsi="Arial" w:cs="Arial"/>
          <w:color w:val="990000"/>
          <w:sz w:val="27"/>
          <w:szCs w:val="27"/>
          <w:lang w:eastAsia="it-IT"/>
        </w:rPr>
      </w:pPr>
      <w:r w:rsidRPr="008E327F">
        <w:rPr>
          <w:rFonts w:ascii="Arial" w:eastAsia="Times New Roman" w:hAnsi="Arial" w:cs="Arial"/>
          <w:color w:val="990000"/>
          <w:sz w:val="27"/>
          <w:szCs w:val="27"/>
          <w:lang w:eastAsia="it-IT"/>
        </w:rPr>
        <w:t>Note all'art. 3:</w:t>
      </w:r>
      <w:r w:rsidRPr="008E327F">
        <w:rPr>
          <w:rFonts w:ascii="Arial" w:eastAsia="Times New Roman" w:hAnsi="Arial" w:cs="Arial"/>
          <w:color w:val="990000"/>
          <w:sz w:val="27"/>
          <w:szCs w:val="27"/>
          <w:lang w:eastAsia="it-IT"/>
        </w:rPr>
        <w:br/>
        <w:t>- Si riporta il testo dell'</w:t>
      </w:r>
      <w:hyperlink r:id="rId7" w:tgtFrame="_blank" w:history="1">
        <w:r w:rsidRPr="008E327F">
          <w:rPr>
            <w:rFonts w:ascii="Arial" w:eastAsia="Times New Roman" w:hAnsi="Arial" w:cs="Arial"/>
            <w:color w:val="0066CC"/>
            <w:sz w:val="27"/>
            <w:szCs w:val="27"/>
            <w:u w:val="single"/>
            <w:lang w:eastAsia="it-IT"/>
          </w:rPr>
          <w:t>art. 6 del decreto-legge 9 giugno 2021, n. 80</w:t>
        </w:r>
      </w:hyperlink>
      <w:r w:rsidRPr="008E327F">
        <w:rPr>
          <w:rFonts w:ascii="Arial" w:eastAsia="Times New Roman" w:hAnsi="Arial" w:cs="Arial"/>
          <w:color w:val="990000"/>
          <w:sz w:val="27"/>
          <w:szCs w:val="27"/>
          <w:lang w:eastAsia="it-IT"/>
        </w:rPr>
        <w:t>, convertito, con modificazioni dalla </w:t>
      </w:r>
      <w:hyperlink r:id="rId8" w:tgtFrame="_blank" w:history="1">
        <w:r w:rsidRPr="008E327F">
          <w:rPr>
            <w:rFonts w:ascii="Arial" w:eastAsia="Times New Roman" w:hAnsi="Arial" w:cs="Arial"/>
            <w:color w:val="0066CC"/>
            <w:sz w:val="27"/>
            <w:szCs w:val="27"/>
            <w:u w:val="single"/>
            <w:lang w:eastAsia="it-IT"/>
          </w:rPr>
          <w:t>legge 6 agosto 2021, n. 113</w:t>
        </w:r>
      </w:hyperlink>
      <w:r w:rsidRPr="008E327F">
        <w:rPr>
          <w:rFonts w:ascii="Arial" w:eastAsia="Times New Roman" w:hAnsi="Arial" w:cs="Arial"/>
          <w:color w:val="990000"/>
          <w:sz w:val="27"/>
          <w:szCs w:val="27"/>
          <w:lang w:eastAsia="it-IT"/>
        </w:rPr>
        <w:t> (Misure urgenti per il rafforzamento della capacità amministrativa delle pubbliche amministrazioni funzionale all'attuazione del Piano nazionale di ripresa e resilienza (PNRR) e per l'efficienza della giustizia), come modificato dal presente decreto:</w:t>
      </w:r>
      <w:r w:rsidRPr="008E327F">
        <w:rPr>
          <w:rFonts w:ascii="Arial" w:eastAsia="Times New Roman" w:hAnsi="Arial" w:cs="Arial"/>
          <w:color w:val="990000"/>
          <w:sz w:val="27"/>
          <w:szCs w:val="27"/>
          <w:lang w:eastAsia="it-IT"/>
        </w:rPr>
        <w:br/>
        <w:t>«Art. 6 (Piano integrato di attività e organizzazione). - 1.Per assicurare la qualità e la trasparenza dell'attività amministrativa e migliorare la qualità dei servizi ai cittadini e alle imprese e procedere alla costante e progressiva semplificazione e reingegnerizzazione dei processi anche in materia di diritto di accesso, le pubbliche amministrazioni, con esclusione delle scuole di ogni ordine e grado e delle istituzioni educative, di cui all'</w:t>
      </w:r>
      <w:hyperlink r:id="rId9" w:tgtFrame="_blank" w:history="1">
        <w:r w:rsidRPr="008E327F">
          <w:rPr>
            <w:rFonts w:ascii="Arial" w:eastAsia="Times New Roman" w:hAnsi="Arial" w:cs="Arial"/>
            <w:color w:val="0066CC"/>
            <w:sz w:val="27"/>
            <w:szCs w:val="27"/>
            <w:u w:val="single"/>
            <w:lang w:eastAsia="it-IT"/>
          </w:rPr>
          <w:t>articolo 1, comma 2, del decreto legislativo 30 marzo 2001, n. 165</w:t>
        </w:r>
      </w:hyperlink>
      <w:r w:rsidRPr="008E327F">
        <w:rPr>
          <w:rFonts w:ascii="Arial" w:eastAsia="Times New Roman" w:hAnsi="Arial" w:cs="Arial"/>
          <w:color w:val="990000"/>
          <w:sz w:val="27"/>
          <w:szCs w:val="27"/>
          <w:lang w:eastAsia="it-IT"/>
        </w:rPr>
        <w:t>, con più di cinquanta dipendenti, entro il 31 gennaio (52) di ogni anno adottano il Piano integrato di attività e organizzazione, di seguito denominato Piano, nel rispetto delle vigenti discipline di settore e, in particolare, deldecreto legislativo 27 ottobre 2009, n. 150e dellalegge 6 novembre 2012, n. 190.</w:t>
      </w:r>
      <w:r w:rsidRPr="008E327F">
        <w:rPr>
          <w:rFonts w:ascii="Arial" w:eastAsia="Times New Roman" w:hAnsi="Arial" w:cs="Arial"/>
          <w:color w:val="990000"/>
          <w:sz w:val="27"/>
          <w:szCs w:val="27"/>
          <w:lang w:eastAsia="it-IT"/>
        </w:rPr>
        <w:br/>
        <w:t>2. Il Piano ha durata triennale, viene aggiornato annualmente e definisce:</w:t>
      </w:r>
      <w:r w:rsidRPr="008E327F">
        <w:rPr>
          <w:rFonts w:ascii="Arial" w:eastAsia="Times New Roman" w:hAnsi="Arial" w:cs="Arial"/>
          <w:color w:val="990000"/>
          <w:sz w:val="27"/>
          <w:szCs w:val="27"/>
          <w:lang w:eastAsia="it-IT"/>
        </w:rPr>
        <w:br/>
        <w:t>a) gli obiettivi programmatici e strategici della performance secondo i principi e criteri direttivi di cui all'</w:t>
      </w:r>
      <w:hyperlink r:id="rId10" w:tgtFrame="_blank" w:history="1">
        <w:r w:rsidRPr="008E327F">
          <w:rPr>
            <w:rFonts w:ascii="Arial" w:eastAsia="Times New Roman" w:hAnsi="Arial" w:cs="Arial"/>
            <w:color w:val="0066CC"/>
            <w:sz w:val="27"/>
            <w:szCs w:val="27"/>
            <w:u w:val="single"/>
            <w:lang w:eastAsia="it-IT"/>
          </w:rPr>
          <w:t>articolo 10 del decreto legislativo 27 ottobre 2009, n. 150</w:t>
        </w:r>
      </w:hyperlink>
      <w:r w:rsidRPr="008E327F">
        <w:rPr>
          <w:rFonts w:ascii="Arial" w:eastAsia="Times New Roman" w:hAnsi="Arial" w:cs="Arial"/>
          <w:color w:val="990000"/>
          <w:sz w:val="27"/>
          <w:szCs w:val="27"/>
          <w:lang w:eastAsia="it-IT"/>
        </w:rPr>
        <w:t xml:space="preserve">, stabilendo il necessario collegamento della performance individuale ai risultati </w:t>
      </w:r>
      <w:r w:rsidRPr="008E327F">
        <w:rPr>
          <w:rFonts w:ascii="Arial" w:eastAsia="Times New Roman" w:hAnsi="Arial" w:cs="Arial"/>
          <w:color w:val="990000"/>
          <w:sz w:val="27"/>
          <w:szCs w:val="27"/>
          <w:lang w:eastAsia="it-IT"/>
        </w:rPr>
        <w:lastRenderedPageBreak/>
        <w:t>della performance organizzativa;</w:t>
      </w:r>
      <w:r w:rsidRPr="008E327F">
        <w:rPr>
          <w:rFonts w:ascii="Arial" w:eastAsia="Times New Roman" w:hAnsi="Arial" w:cs="Arial"/>
          <w:color w:val="990000"/>
          <w:sz w:val="27"/>
          <w:szCs w:val="27"/>
          <w:lang w:eastAsia="it-IT"/>
        </w:rPr>
        <w:br/>
        <w:t>b) la strategia di gestione del capitale umano e di sviluppo organizzativo, anche mediante il ricorso al lavoro agile, e gli obiettivi formativi annuali e pluriennali, finalizzati ai processi di pianificazione secondo le logiche del project management, al raggiungimento della completa alfabetizzazione digitale, allo sviluppo delle conoscenze tecniche e delle competenze trasversali e manageriali e all'accrescimento culturale e dei titoli di studio del personale, correlati all'ambito d'impiego e alla progressione di carriera del personale;</w:t>
      </w:r>
      <w:r w:rsidRPr="008E327F">
        <w:rPr>
          <w:rFonts w:ascii="Arial" w:eastAsia="Times New Roman" w:hAnsi="Arial" w:cs="Arial"/>
          <w:color w:val="990000"/>
          <w:sz w:val="27"/>
          <w:szCs w:val="27"/>
          <w:lang w:eastAsia="it-IT"/>
        </w:rPr>
        <w:br/>
        <w:t>c) compatibilmente con le risorse finanziarie riconducibili al piano triennale dei fabbisogni di personale, di cui all'</w:t>
      </w:r>
      <w:hyperlink r:id="rId11" w:tgtFrame="_blank" w:history="1">
        <w:r w:rsidRPr="008E327F">
          <w:rPr>
            <w:rFonts w:ascii="Arial" w:eastAsia="Times New Roman" w:hAnsi="Arial" w:cs="Arial"/>
            <w:color w:val="0066CC"/>
            <w:sz w:val="27"/>
            <w:szCs w:val="27"/>
            <w:u w:val="single"/>
            <w:lang w:eastAsia="it-IT"/>
          </w:rPr>
          <w:t>articolo 6 del decreto legislativo 30 marzo 2001, n. 165</w:t>
        </w:r>
      </w:hyperlink>
      <w:r w:rsidRPr="008E327F">
        <w:rPr>
          <w:rFonts w:ascii="Arial" w:eastAsia="Times New Roman" w:hAnsi="Arial" w:cs="Arial"/>
          <w:color w:val="990000"/>
          <w:sz w:val="27"/>
          <w:szCs w:val="27"/>
          <w:lang w:eastAsia="it-IT"/>
        </w:rPr>
        <w:t>, gli strumenti e gli obiettivi del reclutamento di nuove risorse e della valorizzazione delle risorse interne, prevedendo, oltre alle forme di reclutamento ordinario, la percentuale di posizioni disponibili nei limiti stabiliti dalla legge destinata alle progressioni di carriera del personale, anche tra aree diverse, e le modalità di valorizzazione a tal fine dell'esperienza professionale maturata e dell'accrescimento culturale conseguito anche attraverso le attività poste in essere ai sensi della lettera b), assicurando adeguata informazione alle organizzazioni sindacali;</w:t>
      </w:r>
      <w:r w:rsidRPr="008E327F">
        <w:rPr>
          <w:rFonts w:ascii="Arial" w:eastAsia="Times New Roman" w:hAnsi="Arial" w:cs="Arial"/>
          <w:color w:val="990000"/>
          <w:sz w:val="27"/>
          <w:szCs w:val="27"/>
          <w:lang w:eastAsia="it-IT"/>
        </w:rPr>
        <w:br/>
        <w:t>d) gli strumenti e le fasi per giungere alla piena trasparenza dei risultati dell'attività e dell'organizzazione amministrativa nonché per raggiungere gli obiettivi in materia di contrasto alla corruzione, secondo quanto previsto dalla normativa vigente in materia e in conformità agli indirizzi adottati dall'Autorità nazionale anticorruzione (ANAC) con il Piano nazionale anticorruzione;</w:t>
      </w:r>
      <w:r w:rsidRPr="008E327F">
        <w:rPr>
          <w:rFonts w:ascii="Arial" w:eastAsia="Times New Roman" w:hAnsi="Arial" w:cs="Arial"/>
          <w:color w:val="990000"/>
          <w:sz w:val="27"/>
          <w:szCs w:val="27"/>
          <w:lang w:eastAsia="it-IT"/>
        </w:rPr>
        <w:br/>
        <w:t>e) l'elenco delle procedure da semplificare e reingegnerizzare ogni anno, anche mediante il ricorso alla tecnologia e sulla base della consultazione degli utenti, nonché la pianificazione delle attività inclusa la graduale misurazione dei tempi effettivi di completamento delle procedure effettuata attraverso strumenti automatizzati;</w:t>
      </w:r>
      <w:r w:rsidRPr="008E327F">
        <w:rPr>
          <w:rFonts w:ascii="Arial" w:eastAsia="Times New Roman" w:hAnsi="Arial" w:cs="Arial"/>
          <w:color w:val="990000"/>
          <w:sz w:val="27"/>
          <w:szCs w:val="27"/>
          <w:lang w:eastAsia="it-IT"/>
        </w:rPr>
        <w:br/>
        <w:t>f) le modalità e le azioni finalizzate a realizzare la piena accessibilità alle amministrazioni, fisica e digitale, da parte dei cittadini ultrasessantacinquenni e dei cittadini con disabilità;</w:t>
      </w:r>
      <w:r w:rsidRPr="008E327F">
        <w:rPr>
          <w:rFonts w:ascii="Arial" w:eastAsia="Times New Roman" w:hAnsi="Arial" w:cs="Arial"/>
          <w:color w:val="990000"/>
          <w:sz w:val="27"/>
          <w:szCs w:val="27"/>
          <w:lang w:eastAsia="it-IT"/>
        </w:rPr>
        <w:br/>
        <w:t>g) le modalità e le azioni finalizzate al pieno rispetto della parità di genere, anche con riguardo alla composizione delle commissioni esaminatrici dei concorsi.</w:t>
      </w:r>
      <w:r w:rsidRPr="008E327F">
        <w:rPr>
          <w:rFonts w:ascii="Arial" w:eastAsia="Times New Roman" w:hAnsi="Arial" w:cs="Arial"/>
          <w:color w:val="990000"/>
          <w:sz w:val="27"/>
          <w:szCs w:val="27"/>
          <w:lang w:eastAsia="it-IT"/>
        </w:rPr>
        <w:br/>
        <w:t>2-bis. Le pubbliche amministrazioni di cui al comma 1, nell'ambito del personale in servizio, individuano un dirigente amministrativo ovvero un altro dipendente ad esso equiparato, che abbia esperienza sui temi dell'inclusione sociale e dell'accessibilità delle persone con disabilità anche comprovata da specifica formazione, che definisce specificatamente le modalità e le azioni di cui al comma 2, lettera f), proponendo la relativa definizione degli obiettivi programmatici e strategici della performance di cui al comma 2, lettera a), e della relativa strategia di gestione del capitale umano e di sviluppo organizzativo e degli obiettivi formativi annuali e pluriennali di cui al comma 2, lettera b). Le predette funzioni possono essere assolte anche dal responsabile del processo di inserimento delle persone con disabilità nell'ambiente di lavoro di cui all'articolo 39-ter, comma 1, del citato </w:t>
      </w:r>
      <w:hyperlink r:id="rId12" w:tgtFrame="_blank" w:history="1">
        <w:r w:rsidRPr="008E327F">
          <w:rPr>
            <w:rFonts w:ascii="Arial" w:eastAsia="Times New Roman" w:hAnsi="Arial" w:cs="Arial"/>
            <w:color w:val="0066CC"/>
            <w:sz w:val="27"/>
            <w:szCs w:val="27"/>
            <w:u w:val="single"/>
            <w:lang w:eastAsia="it-IT"/>
          </w:rPr>
          <w:t>decreto legislativo n. 165 del 2001</w:t>
        </w:r>
      </w:hyperlink>
      <w:r w:rsidRPr="008E327F">
        <w:rPr>
          <w:rFonts w:ascii="Arial" w:eastAsia="Times New Roman" w:hAnsi="Arial" w:cs="Arial"/>
          <w:color w:val="990000"/>
          <w:sz w:val="27"/>
          <w:szCs w:val="27"/>
          <w:lang w:eastAsia="it-IT"/>
        </w:rPr>
        <w:t xml:space="preserve">, ove </w:t>
      </w:r>
      <w:r w:rsidRPr="008E327F">
        <w:rPr>
          <w:rFonts w:ascii="Arial" w:eastAsia="Times New Roman" w:hAnsi="Arial" w:cs="Arial"/>
          <w:color w:val="990000"/>
          <w:sz w:val="27"/>
          <w:szCs w:val="27"/>
          <w:lang w:eastAsia="it-IT"/>
        </w:rPr>
        <w:lastRenderedPageBreak/>
        <w:t>dotato di qualifica dirigenziale. I nominativi dei soggetti individuati ai sensi del presente comma sono comunicati alla Presidenza del Consiglio dei ministri-Dipartimento della funzione pubblica.</w:t>
      </w:r>
      <w:r w:rsidRPr="008E327F">
        <w:rPr>
          <w:rFonts w:ascii="Arial" w:eastAsia="Times New Roman" w:hAnsi="Arial" w:cs="Arial"/>
          <w:color w:val="990000"/>
          <w:sz w:val="27"/>
          <w:szCs w:val="27"/>
          <w:lang w:eastAsia="it-IT"/>
        </w:rPr>
        <w:br/>
        <w:t>2-ter. Le pubbliche amministrazioni di cui al comma 1, con meno di cinquanta dipendenti, possono eventualmente applicare le previsioni di cui al comma 2-bis, anche ricorrendo a forme di gestione associata.</w:t>
      </w:r>
      <w:r w:rsidRPr="008E327F">
        <w:rPr>
          <w:rFonts w:ascii="Arial" w:eastAsia="Times New Roman" w:hAnsi="Arial" w:cs="Arial"/>
          <w:color w:val="990000"/>
          <w:sz w:val="27"/>
          <w:szCs w:val="27"/>
          <w:lang w:eastAsia="it-IT"/>
        </w:rPr>
        <w:br/>
        <w:t>3. Il Piano definisce le modalità di monitoraggio degli esiti, con cadenza periodica, inclusi gli impatti sugli utenti, anche attraverso rilevazioni della soddisfazione degli utenti stessi mediante gli strumenti di cui aldecreto legislativo 27 ottobre 2009, n. 150, nonché le modalità di monitoraggio dei procedimenti attivati ai sensi deldecreto legislativo 20 dicembre 2009, n. 198.</w:t>
      </w:r>
      <w:r w:rsidRPr="008E327F">
        <w:rPr>
          <w:rFonts w:ascii="Arial" w:eastAsia="Times New Roman" w:hAnsi="Arial" w:cs="Arial"/>
          <w:color w:val="990000"/>
          <w:sz w:val="27"/>
          <w:szCs w:val="27"/>
          <w:lang w:eastAsia="it-IT"/>
        </w:rPr>
        <w:br/>
        <w:t>4. Le pubbliche amministrazioni di cui al comma 1 del presente articolo pubblicano il Piano e i relativi aggiornamenti entro il 31 gennaio di ogni anno nel proprio sito internet istituzionale e li inviano al Dipartimento della funzione pubblica della Presidenza del Consiglio dei ministri per la pubblicazione sul relativo portale.</w:t>
      </w:r>
      <w:r w:rsidRPr="008E327F">
        <w:rPr>
          <w:rFonts w:ascii="Arial" w:eastAsia="Times New Roman" w:hAnsi="Arial" w:cs="Arial"/>
          <w:color w:val="990000"/>
          <w:sz w:val="27"/>
          <w:szCs w:val="27"/>
          <w:lang w:eastAsia="it-IT"/>
        </w:rPr>
        <w:br/>
        <w:t>5. Entro il 31 marzo 2022, con uno o più decreti del Presidente della Repubblica, adottati ai sensi dell'</w:t>
      </w:r>
      <w:hyperlink r:id="rId13" w:tgtFrame="_blank" w:history="1">
        <w:r w:rsidRPr="008E327F">
          <w:rPr>
            <w:rFonts w:ascii="Arial" w:eastAsia="Times New Roman" w:hAnsi="Arial" w:cs="Arial"/>
            <w:color w:val="0066CC"/>
            <w:sz w:val="27"/>
            <w:szCs w:val="27"/>
            <w:u w:val="single"/>
            <w:lang w:eastAsia="it-IT"/>
          </w:rPr>
          <w:t>articolo 17, comma 2, della legge 23 agosto 1988, n. 400</w:t>
        </w:r>
      </w:hyperlink>
      <w:r w:rsidRPr="008E327F">
        <w:rPr>
          <w:rFonts w:ascii="Arial" w:eastAsia="Times New Roman" w:hAnsi="Arial" w:cs="Arial"/>
          <w:color w:val="990000"/>
          <w:sz w:val="27"/>
          <w:szCs w:val="27"/>
          <w:lang w:eastAsia="it-IT"/>
        </w:rPr>
        <w:t>, previa intesa in sede di Conferenza unificata, ai sensi dell'</w:t>
      </w:r>
      <w:hyperlink r:id="rId14" w:tgtFrame="_blank" w:history="1">
        <w:r w:rsidRPr="008E327F">
          <w:rPr>
            <w:rFonts w:ascii="Arial" w:eastAsia="Times New Roman" w:hAnsi="Arial" w:cs="Arial"/>
            <w:color w:val="0066CC"/>
            <w:sz w:val="27"/>
            <w:szCs w:val="27"/>
            <w:u w:val="single"/>
            <w:lang w:eastAsia="it-IT"/>
          </w:rPr>
          <w:t>articolo 9, comma 2, del decreto legislativo 28 agosto 1997, n. 281</w:t>
        </w:r>
      </w:hyperlink>
      <w:r w:rsidRPr="008E327F">
        <w:rPr>
          <w:rFonts w:ascii="Arial" w:eastAsia="Times New Roman" w:hAnsi="Arial" w:cs="Arial"/>
          <w:color w:val="990000"/>
          <w:sz w:val="27"/>
          <w:szCs w:val="27"/>
          <w:lang w:eastAsia="it-IT"/>
        </w:rPr>
        <w:t>, sono individuati e abrogati gli adempimenti relativi ai piani assorbiti da quello di cui al presente articolo.</w:t>
      </w:r>
      <w:r w:rsidRPr="008E327F">
        <w:rPr>
          <w:rFonts w:ascii="Arial" w:eastAsia="Times New Roman" w:hAnsi="Arial" w:cs="Arial"/>
          <w:color w:val="990000"/>
          <w:sz w:val="27"/>
          <w:szCs w:val="27"/>
          <w:lang w:eastAsia="it-IT"/>
        </w:rPr>
        <w:br/>
        <w:t>6. Entro il medesimo termine di cui al comma 5, con decreto del Ministro per la pubblica amministrazione, di concerto con il Ministro dell'economia e delle finanze, previa intesa in sede di Conferenza unificata, ai sensi dell'</w:t>
      </w:r>
      <w:hyperlink r:id="rId15" w:tgtFrame="_blank" w:history="1">
        <w:r w:rsidRPr="008E327F">
          <w:rPr>
            <w:rFonts w:ascii="Arial" w:eastAsia="Times New Roman" w:hAnsi="Arial" w:cs="Arial"/>
            <w:color w:val="0066CC"/>
            <w:sz w:val="27"/>
            <w:szCs w:val="27"/>
            <w:u w:val="single"/>
            <w:lang w:eastAsia="it-IT"/>
          </w:rPr>
          <w:t>articolo 9, comma 2, del decreto legislativo 28 agosto 1997, n. 281</w:t>
        </w:r>
      </w:hyperlink>
      <w:r w:rsidRPr="008E327F">
        <w:rPr>
          <w:rFonts w:ascii="Arial" w:eastAsia="Times New Roman" w:hAnsi="Arial" w:cs="Arial"/>
          <w:color w:val="990000"/>
          <w:sz w:val="27"/>
          <w:szCs w:val="27"/>
          <w:lang w:eastAsia="it-IT"/>
        </w:rPr>
        <w:t>, è adottato un Piano tipo, quale strumento di supporto alle amministrazioni di cui al comma 1. Nel Piano tipo sono definite modalità semplificate per l'adozione del Piano di cui al comma 1 da parte delle amministrazioni con meno di cinquanta dipendenti.</w:t>
      </w:r>
      <w:r w:rsidRPr="008E327F">
        <w:rPr>
          <w:rFonts w:ascii="Arial" w:eastAsia="Times New Roman" w:hAnsi="Arial" w:cs="Arial"/>
          <w:color w:val="990000"/>
          <w:sz w:val="27"/>
          <w:szCs w:val="27"/>
          <w:lang w:eastAsia="it-IT"/>
        </w:rPr>
        <w:br/>
        <w:t>6-bis. In sede di prima applicazione il Piano è adottato entro il 30 giugno 2022 e fino al predetto termine non si applicano le sanzioni previste dalle seguenti disposizioni:</w:t>
      </w:r>
      <w:r w:rsidRPr="008E327F">
        <w:rPr>
          <w:rFonts w:ascii="Arial" w:eastAsia="Times New Roman" w:hAnsi="Arial" w:cs="Arial"/>
          <w:color w:val="990000"/>
          <w:sz w:val="27"/>
          <w:szCs w:val="27"/>
          <w:lang w:eastAsia="it-IT"/>
        </w:rPr>
        <w:br/>
        <w:t>a) </w:t>
      </w:r>
      <w:hyperlink r:id="rId16" w:tgtFrame="_blank" w:history="1">
        <w:r w:rsidRPr="008E327F">
          <w:rPr>
            <w:rFonts w:ascii="Arial" w:eastAsia="Times New Roman" w:hAnsi="Arial" w:cs="Arial"/>
            <w:color w:val="0066CC"/>
            <w:sz w:val="27"/>
            <w:szCs w:val="27"/>
            <w:u w:val="single"/>
            <w:lang w:eastAsia="it-IT"/>
          </w:rPr>
          <w:t>articolo 10, comma 5, del decreto legislativo 27 ottobre 2009, n. 150</w:t>
        </w:r>
      </w:hyperlink>
      <w:r w:rsidRPr="008E327F">
        <w:rPr>
          <w:rFonts w:ascii="Arial" w:eastAsia="Times New Roman" w:hAnsi="Arial" w:cs="Arial"/>
          <w:color w:val="990000"/>
          <w:sz w:val="27"/>
          <w:szCs w:val="27"/>
          <w:lang w:eastAsia="it-IT"/>
        </w:rPr>
        <w:t>;</w:t>
      </w:r>
      <w:r w:rsidRPr="008E327F">
        <w:rPr>
          <w:rFonts w:ascii="Arial" w:eastAsia="Times New Roman" w:hAnsi="Arial" w:cs="Arial"/>
          <w:color w:val="990000"/>
          <w:sz w:val="27"/>
          <w:szCs w:val="27"/>
          <w:lang w:eastAsia="it-IT"/>
        </w:rPr>
        <w:br/>
        <w:t>b) </w:t>
      </w:r>
      <w:hyperlink r:id="rId17" w:tgtFrame="_blank" w:history="1">
        <w:r w:rsidRPr="008E327F">
          <w:rPr>
            <w:rFonts w:ascii="Arial" w:eastAsia="Times New Roman" w:hAnsi="Arial" w:cs="Arial"/>
            <w:color w:val="0066CC"/>
            <w:sz w:val="27"/>
            <w:szCs w:val="27"/>
            <w:u w:val="single"/>
            <w:lang w:eastAsia="it-IT"/>
          </w:rPr>
          <w:t>articolo 14, comma 1, della legge 7 agosto 2015, n. 124</w:t>
        </w:r>
      </w:hyperlink>
      <w:r w:rsidRPr="008E327F">
        <w:rPr>
          <w:rFonts w:ascii="Arial" w:eastAsia="Times New Roman" w:hAnsi="Arial" w:cs="Arial"/>
          <w:color w:val="990000"/>
          <w:sz w:val="27"/>
          <w:szCs w:val="27"/>
          <w:lang w:eastAsia="it-IT"/>
        </w:rPr>
        <w:t>;</w:t>
      </w:r>
      <w:r w:rsidRPr="008E327F">
        <w:rPr>
          <w:rFonts w:ascii="Arial" w:eastAsia="Times New Roman" w:hAnsi="Arial" w:cs="Arial"/>
          <w:color w:val="990000"/>
          <w:sz w:val="27"/>
          <w:szCs w:val="27"/>
          <w:lang w:eastAsia="it-IT"/>
        </w:rPr>
        <w:br/>
        <w:t>c) </w:t>
      </w:r>
      <w:hyperlink r:id="rId18" w:tgtFrame="_blank" w:history="1">
        <w:r w:rsidRPr="008E327F">
          <w:rPr>
            <w:rFonts w:ascii="Arial" w:eastAsia="Times New Roman" w:hAnsi="Arial" w:cs="Arial"/>
            <w:color w:val="0066CC"/>
            <w:sz w:val="27"/>
            <w:szCs w:val="27"/>
            <w:u w:val="single"/>
            <w:lang w:eastAsia="it-IT"/>
          </w:rPr>
          <w:t>articolo 6, comma 6, del decreto legislativo 30 marzo 2001, n. 165</w:t>
        </w:r>
      </w:hyperlink>
      <w:r w:rsidRPr="008E327F">
        <w:rPr>
          <w:rFonts w:ascii="Arial" w:eastAsia="Times New Roman" w:hAnsi="Arial" w:cs="Arial"/>
          <w:color w:val="990000"/>
          <w:sz w:val="27"/>
          <w:szCs w:val="27"/>
          <w:lang w:eastAsia="it-IT"/>
        </w:rPr>
        <w:t>.</w:t>
      </w:r>
      <w:r w:rsidRPr="008E327F">
        <w:rPr>
          <w:rFonts w:ascii="Arial" w:eastAsia="Times New Roman" w:hAnsi="Arial" w:cs="Arial"/>
          <w:color w:val="990000"/>
          <w:sz w:val="27"/>
          <w:szCs w:val="27"/>
          <w:lang w:eastAsia="it-IT"/>
        </w:rPr>
        <w:br/>
        <w:t>7. In caso di mancata adozione del Piano trovano applicazione le sanzioni di cui all'</w:t>
      </w:r>
      <w:hyperlink r:id="rId19" w:tgtFrame="_blank" w:history="1">
        <w:r w:rsidRPr="008E327F">
          <w:rPr>
            <w:rFonts w:ascii="Arial" w:eastAsia="Times New Roman" w:hAnsi="Arial" w:cs="Arial"/>
            <w:color w:val="0066CC"/>
            <w:sz w:val="27"/>
            <w:szCs w:val="27"/>
            <w:u w:val="single"/>
            <w:lang w:eastAsia="it-IT"/>
          </w:rPr>
          <w:t>articolo 10, comma 5, del decreto legislativo 27 ottobre 2009, n. 150</w:t>
        </w:r>
      </w:hyperlink>
      <w:r w:rsidRPr="008E327F">
        <w:rPr>
          <w:rFonts w:ascii="Arial" w:eastAsia="Times New Roman" w:hAnsi="Arial" w:cs="Arial"/>
          <w:color w:val="990000"/>
          <w:sz w:val="27"/>
          <w:szCs w:val="27"/>
          <w:lang w:eastAsia="it-IT"/>
        </w:rPr>
        <w:t>, ferme restando quelle previste dall'</w:t>
      </w:r>
      <w:hyperlink r:id="rId20" w:tgtFrame="_blank" w:history="1">
        <w:r w:rsidRPr="008E327F">
          <w:rPr>
            <w:rFonts w:ascii="Arial" w:eastAsia="Times New Roman" w:hAnsi="Arial" w:cs="Arial"/>
            <w:color w:val="0066CC"/>
            <w:sz w:val="27"/>
            <w:szCs w:val="27"/>
            <w:u w:val="single"/>
            <w:lang w:eastAsia="it-IT"/>
          </w:rPr>
          <w:t>articolo 19, comma 5, lettera b), del decreto-legge 24 giugno 2014, n. 90</w:t>
        </w:r>
      </w:hyperlink>
      <w:r w:rsidRPr="008E327F">
        <w:rPr>
          <w:rFonts w:ascii="Arial" w:eastAsia="Times New Roman" w:hAnsi="Arial" w:cs="Arial"/>
          <w:color w:val="990000"/>
          <w:sz w:val="27"/>
          <w:szCs w:val="27"/>
          <w:lang w:eastAsia="it-IT"/>
        </w:rPr>
        <w:t>, convertito, con modificazioni, dallalegge 11 agosto 2014, n. 114. In caso di differimento del termine previsto a legislazione vigente per l'approvazione del bilancio, gli enti locali, nelle more dell'approvazione del Piano, possono aggiornare la sottosezione relativa alla programmazione del fabbisogno di personale al solo fine di procedere, compatibilmente con gli stanziamenti di bilancio e nel rispetto delle regole per l'assunzione degli impegni di spesa durante l'esercizio provvisorio, alle assunzioni di personale con contratto di lavoro a tempo determinato ai sensi dell'articolo 9, comma 1-quinquies, ultimo periodo, del </w:t>
      </w:r>
      <w:hyperlink r:id="rId21" w:tgtFrame="_blank" w:history="1">
        <w:r w:rsidRPr="008E327F">
          <w:rPr>
            <w:rFonts w:ascii="Arial" w:eastAsia="Times New Roman" w:hAnsi="Arial" w:cs="Arial"/>
            <w:color w:val="0066CC"/>
            <w:sz w:val="27"/>
            <w:szCs w:val="27"/>
            <w:u w:val="single"/>
            <w:lang w:eastAsia="it-IT"/>
          </w:rPr>
          <w:t>decreto-legge 24 giugno 2016, n. 113</w:t>
        </w:r>
      </w:hyperlink>
      <w:r w:rsidRPr="008E327F">
        <w:rPr>
          <w:rFonts w:ascii="Arial" w:eastAsia="Times New Roman" w:hAnsi="Arial" w:cs="Arial"/>
          <w:color w:val="990000"/>
          <w:sz w:val="27"/>
          <w:szCs w:val="27"/>
          <w:lang w:eastAsia="it-IT"/>
        </w:rPr>
        <w:t xml:space="preserve">, convertito, con modificazioni, </w:t>
      </w:r>
      <w:r w:rsidRPr="008E327F">
        <w:rPr>
          <w:rFonts w:ascii="Arial" w:eastAsia="Times New Roman" w:hAnsi="Arial" w:cs="Arial"/>
          <w:color w:val="990000"/>
          <w:sz w:val="27"/>
          <w:szCs w:val="27"/>
          <w:lang w:eastAsia="it-IT"/>
        </w:rPr>
        <w:lastRenderedPageBreak/>
        <w:t>dallalegge 7 agosto 2016, n. 160.</w:t>
      </w:r>
      <w:r w:rsidRPr="008E327F">
        <w:rPr>
          <w:rFonts w:ascii="Arial" w:eastAsia="Times New Roman" w:hAnsi="Arial" w:cs="Arial"/>
          <w:color w:val="990000"/>
          <w:sz w:val="27"/>
          <w:szCs w:val="27"/>
          <w:lang w:eastAsia="it-IT"/>
        </w:rPr>
        <w:br/>
        <w:t>7-bis. Le Regioni, per quanto riguarda le aziende e gli enti del Servizio sanitario nazionale, adeguano i rispettivi ordinamenti ai principi di cui al presente articolo e ai contenuti del Piano tipo definiti con il decreto di cui al comma 6.</w:t>
      </w:r>
      <w:r w:rsidRPr="008E327F">
        <w:rPr>
          <w:rFonts w:ascii="Arial" w:eastAsia="Times New Roman" w:hAnsi="Arial" w:cs="Arial"/>
          <w:color w:val="990000"/>
          <w:sz w:val="27"/>
          <w:szCs w:val="27"/>
          <w:lang w:eastAsia="it-IT"/>
        </w:rPr>
        <w:br/>
        <w:t>7-ter. Nell'ambito della sezione del Piano relativa alla formazione del personale, le amministrazioni di cui al comma 1 indicano quali elementi necessari gli obiettivi e le occorrenti risorse finanziarie, nei limiti di quelle a tale scopo disponibili, prevedendo l'impiego delle risorse proprie e di quelle attribuite dallo Stato o dall'Unione europea, nonché le metodologie formative da adottare in riferimento ai diversi destinatari. A tal fine le amministrazioni di cui al comma 1 individuano al proprio interno dirigenti e funzionari aventi competenze e conoscenze idonee per svolgere attività di formazione con risorse interne e per esercitare la funzione di docente o di tutor, per i quali sono predisposti specifici percorsi formativi.</w:t>
      </w:r>
      <w:r w:rsidRPr="008E327F">
        <w:rPr>
          <w:rFonts w:ascii="Arial" w:eastAsia="Times New Roman" w:hAnsi="Arial" w:cs="Arial"/>
          <w:color w:val="990000"/>
          <w:sz w:val="27"/>
          <w:szCs w:val="27"/>
          <w:lang w:eastAsia="it-IT"/>
        </w:rPr>
        <w:br/>
        <w:t>8. All'attuazione delle disposizioni di cui al presente articolo le amministrazioni interessate provvedono con le risorse umane, strumentali e finanziarie disponibili a legislazione vigente. Gli enti locali con meno di 15.000 abitanti provvedono al monitoraggio dell'attuazione del presente articolo e al monitoraggio delle performance organizzative anche attraverso l'individuazione di un ufficio associato tra quelli esistenti in ambito provinciale o metropolitano, secondo le indicazioni delle Assemblee dei sindaci o delle Conferenze metropolitane.</w:t>
      </w:r>
      <w:r w:rsidRPr="008E327F">
        <w:rPr>
          <w:rFonts w:ascii="Arial" w:eastAsia="Times New Roman" w:hAnsi="Arial" w:cs="Arial"/>
          <w:color w:val="990000"/>
          <w:sz w:val="27"/>
          <w:szCs w:val="27"/>
          <w:lang w:eastAsia="it-IT"/>
        </w:rPr>
        <w:br/>
        <w:t>8-bis. Presso il Dipartimento della funzione pubblica della Presidenza del Consiglio dei ministri è istituito l'Osservatorio nazionale del lavoro pubblico con il compito di promuovere lo sviluppo strategico del Piano e le connesse iniziative di indirizzo in materia di lavoro agile, innovazione organizzativa, misurazione e valutazione della performance, formazione e valorizzazione del capitale umano, nonché di garantire la piena applicazione delle attività di monitoraggio sull'effettiva utilità degli adempimenti richiesti dai piani non inclusi nel Piano, anche con specifico riguardo all'impatto delle riforme in materia di pubblica amministrazione. Con decreto del Ministro per la pubblica amministrazione, da adottare entro quarantacinque giorni dalla data di entrata in vigore della presente disposizione, sono definiti la composizione e il funzionamento dell'Osservatorio. All'istituzione e al funzionamento dell'Osservatorio si provvede nei limiti delle risorse umane, strumentali e finanziarie disponibili a legislazione vigente, senza nuovi o maggiori oneri per la finanza pubblica. Ai componenti dell'Osservatorio non spettano compensi, gettoni di presenza, rimborsi di spesa, o altri emolumenti comunque denominati.»</w:t>
      </w:r>
      <w:bookmarkStart w:id="0" w:name="_GoBack"/>
      <w:bookmarkEnd w:id="0"/>
    </w:p>
    <w:sectPr w:rsidR="00777081" w:rsidRPr="008E32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AD"/>
    <w:rsid w:val="00777081"/>
    <w:rsid w:val="008E327F"/>
    <w:rsid w:val="00915D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86D1"/>
  <w15:chartTrackingRefBased/>
  <w15:docId w15:val="{A59D40D2-A1E6-4E66-A284-7696C3F7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8E327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E327F"/>
    <w:rPr>
      <w:rFonts w:ascii="Times New Roman" w:eastAsia="Times New Roman" w:hAnsi="Times New Roman" w:cs="Times New Roman"/>
      <w:b/>
      <w:bCs/>
      <w:sz w:val="36"/>
      <w:szCs w:val="36"/>
      <w:lang w:eastAsia="it-IT"/>
    </w:rPr>
  </w:style>
  <w:style w:type="character" w:customStyle="1" w:styleId="comma-num-akn">
    <w:name w:val="comma-num-akn"/>
    <w:basedOn w:val="Carpredefinitoparagrafo"/>
    <w:rsid w:val="008E327F"/>
  </w:style>
  <w:style w:type="character" w:customStyle="1" w:styleId="arttextincomma">
    <w:name w:val="art_text_in_comma"/>
    <w:basedOn w:val="Carpredefinitoparagrafo"/>
    <w:rsid w:val="008E327F"/>
  </w:style>
  <w:style w:type="character" w:styleId="Collegamentoipertestuale">
    <w:name w:val="Hyperlink"/>
    <w:basedOn w:val="Carpredefinitoparagrafo"/>
    <w:uiPriority w:val="99"/>
    <w:semiHidden/>
    <w:unhideWhenUsed/>
    <w:rsid w:val="008E3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400987">
      <w:bodyDiv w:val="1"/>
      <w:marLeft w:val="0"/>
      <w:marRight w:val="0"/>
      <w:marTop w:val="0"/>
      <w:marBottom w:val="0"/>
      <w:divBdr>
        <w:top w:val="none" w:sz="0" w:space="0" w:color="auto"/>
        <w:left w:val="none" w:sz="0" w:space="0" w:color="auto"/>
        <w:bottom w:val="none" w:sz="0" w:space="0" w:color="auto"/>
        <w:right w:val="none" w:sz="0" w:space="0" w:color="auto"/>
      </w:divBdr>
      <w:divsChild>
        <w:div w:id="1447577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mattiva.it/uri-res/N2Ls?urn:nir:stato:legge:2021-08-06;113" TargetMode="External"/><Relationship Id="rId13" Type="http://schemas.openxmlformats.org/officeDocument/2006/relationships/hyperlink" Target="https://www.normattiva.it/uri-res/N2Ls?urn:nir:stato:legge:1988-08-23;400~art17-com2" TargetMode="External"/><Relationship Id="rId18" Type="http://schemas.openxmlformats.org/officeDocument/2006/relationships/hyperlink" Target="https://www.normattiva.it/uri-res/N2Ls?urn:nir:stato:decreto.legislativo:2001-03-30;165~art6-com6" TargetMode="External"/><Relationship Id="rId3" Type="http://schemas.openxmlformats.org/officeDocument/2006/relationships/webSettings" Target="webSettings.xml"/><Relationship Id="rId21" Type="http://schemas.openxmlformats.org/officeDocument/2006/relationships/hyperlink" Target="https://www.normattiva.it/uri-res/N2Ls?urn:nir:stato:decreto.legge:2016-06-24;113" TargetMode="External"/><Relationship Id="rId7" Type="http://schemas.openxmlformats.org/officeDocument/2006/relationships/hyperlink" Target="https://www.normattiva.it/uri-res/N2Ls?urn:nir:stato:decreto.legge:2021-06-09;80~art6" TargetMode="External"/><Relationship Id="rId12" Type="http://schemas.openxmlformats.org/officeDocument/2006/relationships/hyperlink" Target="https://www.normattiva.it/uri-res/N2Ls?urn:nir:stato:decreto.legislativo:2001;165" TargetMode="External"/><Relationship Id="rId17" Type="http://schemas.openxmlformats.org/officeDocument/2006/relationships/hyperlink" Target="https://www.normattiva.it/uri-res/N2Ls?urn:nir:stato:legge:2015-08-07;124~art14-com1" TargetMode="External"/><Relationship Id="rId2" Type="http://schemas.openxmlformats.org/officeDocument/2006/relationships/settings" Target="settings.xml"/><Relationship Id="rId16" Type="http://schemas.openxmlformats.org/officeDocument/2006/relationships/hyperlink" Target="https://www.normattiva.it/uri-res/N2Ls?urn:nir:stato:decreto.legislativo:2009-10-27;150~art10-com5" TargetMode="External"/><Relationship Id="rId20" Type="http://schemas.openxmlformats.org/officeDocument/2006/relationships/hyperlink" Target="https://www.normattiva.it/uri-res/N2Ls?urn:nir:stato:decreto.legge:2014-06-24;90~art19-com5-letb" TargetMode="External"/><Relationship Id="rId1" Type="http://schemas.openxmlformats.org/officeDocument/2006/relationships/styles" Target="styles.xml"/><Relationship Id="rId6" Type="http://schemas.openxmlformats.org/officeDocument/2006/relationships/hyperlink" Target="https://www.normattiva.it/uri-res/N2Ls?urn:nir:stato:decreto.legislativo:2001;165" TargetMode="External"/><Relationship Id="rId11" Type="http://schemas.openxmlformats.org/officeDocument/2006/relationships/hyperlink" Target="https://www.normattiva.it/uri-res/N2Ls?urn:nir:stato:decreto.legislativo:2001-03-30;165~art6" TargetMode="External"/><Relationship Id="rId5" Type="http://schemas.openxmlformats.org/officeDocument/2006/relationships/hyperlink" Target="https://www.normattiva.it/uri-res/N2Ls?urn:nir:stato:legge:2021-08-06;113" TargetMode="External"/><Relationship Id="rId15" Type="http://schemas.openxmlformats.org/officeDocument/2006/relationships/hyperlink" Target="https://www.normattiva.it/uri-res/N2Ls?urn:nir:stato:decreto.legislativo:1997-08-28;281~art9-com2" TargetMode="External"/><Relationship Id="rId23" Type="http://schemas.openxmlformats.org/officeDocument/2006/relationships/theme" Target="theme/theme1.xml"/><Relationship Id="rId10" Type="http://schemas.openxmlformats.org/officeDocument/2006/relationships/hyperlink" Target="https://www.normattiva.it/uri-res/N2Ls?urn:nir:stato:decreto.legislativo:2009-10-27;150~art10" TargetMode="External"/><Relationship Id="rId19" Type="http://schemas.openxmlformats.org/officeDocument/2006/relationships/hyperlink" Target="https://www.normattiva.it/uri-res/N2Ls?urn:nir:stato:decreto.legislativo:2009-10-27;150~art10-com5" TargetMode="External"/><Relationship Id="rId4" Type="http://schemas.openxmlformats.org/officeDocument/2006/relationships/hyperlink" Target="https://www.normattiva.it/uri-res/N2Ls?urn:nir:stato:decreto.legge:2021-06-09;80~art6" TargetMode="External"/><Relationship Id="rId9" Type="http://schemas.openxmlformats.org/officeDocument/2006/relationships/hyperlink" Target="https://www.normattiva.it/uri-res/N2Ls?urn:nir:stato:decreto.legislativo:2001-03-30;165~art1-com2" TargetMode="External"/><Relationship Id="rId14" Type="http://schemas.openxmlformats.org/officeDocument/2006/relationships/hyperlink" Target="https://www.normattiva.it/uri-res/N2Ls?urn:nir:stato:decreto.legislativo:1997-08-28;281~art9-com2"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2213</Words>
  <Characters>12616</Characters>
  <Application>Microsoft Office Word</Application>
  <DocSecurity>0</DocSecurity>
  <Lines>105</Lines>
  <Paragraphs>29</Paragraphs>
  <ScaleCrop>false</ScaleCrop>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PACINI_CARMEN</dc:creator>
  <cp:keywords/>
  <dc:description/>
  <cp:lastModifiedBy>PACINI_CARMEN</cp:lastModifiedBy>
  <cp:revision>2</cp:revision>
  <dcterms:created xsi:type="dcterms:W3CDTF">2025-04-28T09:33:00Z</dcterms:created>
  <dcterms:modified xsi:type="dcterms:W3CDTF">2025-04-28T09:34:00Z</dcterms:modified>
</cp:coreProperties>
</file>