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6.0 -->
  <w:body>
    <w:p w:rsidR="008E327F" w:rsidRPr="008E327F" w:rsidP="008E327F">
      <w:pPr>
        <w:shd w:val="clear" w:color="auto" w:fill="FFFFFF"/>
        <w:spacing w:after="120" w:line="240" w:lineRule="auto"/>
        <w:jc w:val="center"/>
        <w:outlineLvl w:val="1"/>
        <w:rPr>
          <w:rFonts w:ascii="Arial" w:eastAsia="Times New Roman" w:hAnsi="Arial" w:cs="Arial"/>
          <w:b/>
          <w:bCs/>
          <w:color w:val="19191A"/>
          <w:sz w:val="36"/>
          <w:szCs w:val="36"/>
          <w:lang w:eastAsia="it-IT"/>
        </w:rPr>
      </w:pPr>
      <w:r w:rsidRPr="008E327F">
        <w:rPr>
          <w:rFonts w:ascii="Arial" w:eastAsia="Times New Roman" w:hAnsi="Arial" w:cs="Arial"/>
          <w:b/>
          <w:bCs/>
          <w:color w:val="19191A"/>
          <w:sz w:val="36"/>
          <w:szCs w:val="36"/>
          <w:lang w:eastAsia="it-IT"/>
        </w:rPr>
        <w:t>Art. 3</w:t>
      </w:r>
    </w:p>
    <w:p w:rsidR="008E327F" w:rsidRPr="008E327F" w:rsidP="008E327F">
      <w:pPr>
        <w:shd w:val="clear" w:color="auto" w:fill="FFFFFF"/>
        <w:spacing w:after="0" w:line="240" w:lineRule="auto"/>
        <w:jc w:val="center"/>
        <w:rPr>
          <w:rFonts w:ascii="Arial" w:eastAsia="Times New Roman" w:hAnsi="Arial" w:cs="Arial"/>
          <w:color w:val="19191A"/>
          <w:sz w:val="27"/>
          <w:szCs w:val="27"/>
          <w:lang w:eastAsia="it-IT"/>
        </w:rPr>
      </w:pPr>
      <w:r w:rsidRPr="008E327F">
        <w:rPr>
          <w:rFonts w:ascii="Arial" w:eastAsia="Times New Roman" w:hAnsi="Arial" w:cs="Arial"/>
          <w:color w:val="19191A"/>
          <w:sz w:val="27"/>
          <w:szCs w:val="27"/>
          <w:lang w:eastAsia="it-IT"/>
        </w:rPr>
        <w:t>Piano integrato di attività e organizzazione</w:t>
      </w:r>
    </w:p>
    <w:p w:rsidR="008E327F" w:rsidRPr="008E327F" w:rsidP="008E327F">
      <w:pPr>
        <w:shd w:val="clear" w:color="auto" w:fill="FFFFFF"/>
        <w:spacing w:after="0" w:line="240" w:lineRule="auto"/>
        <w:rPr>
          <w:rFonts w:ascii="Arial" w:eastAsia="Times New Roman" w:hAnsi="Arial" w:cs="Arial"/>
          <w:color w:val="19191A"/>
          <w:sz w:val="27"/>
          <w:szCs w:val="27"/>
          <w:lang w:eastAsia="it-IT"/>
        </w:rPr>
      </w:pPr>
      <w:r w:rsidRPr="008E327F">
        <w:rPr>
          <w:rFonts w:ascii="Arial" w:eastAsia="Times New Roman" w:hAnsi="Arial" w:cs="Arial"/>
          <w:b/>
          <w:bCs/>
          <w:color w:val="19191A"/>
          <w:sz w:val="27"/>
          <w:szCs w:val="27"/>
          <w:lang w:eastAsia="it-IT"/>
        </w:rPr>
        <w:t>1. </w:t>
      </w:r>
      <w:r w:rsidRPr="008E327F">
        <w:rPr>
          <w:rFonts w:ascii="Arial" w:eastAsia="Times New Roman" w:hAnsi="Arial" w:cs="Arial"/>
          <w:color w:val="19191A"/>
          <w:sz w:val="27"/>
          <w:szCs w:val="27"/>
          <w:lang w:eastAsia="it-IT"/>
        </w:rPr>
        <w:t>All'</w:t>
      </w:r>
      <w:hyperlink r:id="rId4" w:tgtFrame="_blank" w:history="1">
        <w:r w:rsidRPr="008E327F">
          <w:rPr>
            <w:rFonts w:ascii="Arial" w:eastAsia="Times New Roman" w:hAnsi="Arial" w:cs="Arial"/>
            <w:color w:val="0066CC"/>
            <w:sz w:val="27"/>
            <w:szCs w:val="27"/>
            <w:u w:val="single"/>
            <w:lang w:eastAsia="it-IT"/>
          </w:rPr>
          <w:t>articolo 6 del decreto-legge 9 giugno 2021, n. 80</w:t>
        </w:r>
      </w:hyperlink>
      <w:r w:rsidRPr="008E327F">
        <w:rPr>
          <w:rFonts w:ascii="Arial" w:eastAsia="Times New Roman" w:hAnsi="Arial" w:cs="Arial"/>
          <w:color w:val="19191A"/>
          <w:sz w:val="27"/>
          <w:szCs w:val="27"/>
          <w:lang w:eastAsia="it-IT"/>
        </w:rPr>
        <w:t>, convertito, con modificazioni, dalla </w:t>
      </w:r>
      <w:hyperlink r:id="rId5" w:tgtFrame="_blank" w:history="1">
        <w:r w:rsidRPr="008E327F">
          <w:rPr>
            <w:rFonts w:ascii="Arial" w:eastAsia="Times New Roman" w:hAnsi="Arial" w:cs="Arial"/>
            <w:color w:val="0066CC"/>
            <w:sz w:val="27"/>
            <w:szCs w:val="27"/>
            <w:u w:val="single"/>
            <w:lang w:eastAsia="it-IT"/>
          </w:rPr>
          <w:t>legge 6 agosto 2021, n. 113</w:t>
        </w:r>
      </w:hyperlink>
      <w:r w:rsidRPr="008E327F">
        <w:rPr>
          <w:rFonts w:ascii="Arial" w:eastAsia="Times New Roman" w:hAnsi="Arial" w:cs="Arial"/>
          <w:color w:val="19191A"/>
          <w:sz w:val="27"/>
          <w:szCs w:val="27"/>
          <w:lang w:eastAsia="it-IT"/>
        </w:rPr>
        <w:t>, dopo il comma 2, sono inseriti i seguenti:</w:t>
      </w:r>
      <w:r w:rsidRPr="008E327F">
        <w:rPr>
          <w:rFonts w:ascii="Arial" w:eastAsia="Times New Roman" w:hAnsi="Arial" w:cs="Arial"/>
          <w:color w:val="19191A"/>
          <w:sz w:val="27"/>
          <w:szCs w:val="27"/>
          <w:lang w:eastAsia="it-IT"/>
        </w:rPr>
        <w:br/>
        <w:t>«2-bis. Le pubbliche amministrazioni di cui al comma 1, nell'ambito del personale in servizio, individuano un dirigente amministrativo ovvero un altro dipendente ad esso equiparato, che abbia esperienza sui temi dell'inclusione sociale e dell'accessibilità delle persone con disabilità anche comprovata da specifica formazione, che definisce specificatamente le modalità e le azioni di cui al comma 2, lettera f), proponendo la relativa definizione degli obiettivi programmatici e strategici della performance di cui al comma 2, lettera a), e della relativa strategia di gestione del capitale umano e di sviluppo organizzativo e degli obiettivi formativi annuali e pluriennali di cui al comma 2, lettera b). Le predette funzioni possono essere assolte anche dal responsabile del processo di inserimento delle persone con disabilità nell'ambiente di lavoro di cui all'articolo 39-ter, comma 1, del citato </w:t>
      </w:r>
      <w:hyperlink r:id="rId6" w:tgtFrame="_blank" w:history="1">
        <w:r w:rsidRPr="008E327F">
          <w:rPr>
            <w:rFonts w:ascii="Arial" w:eastAsia="Times New Roman" w:hAnsi="Arial" w:cs="Arial"/>
            <w:color w:val="0066CC"/>
            <w:sz w:val="27"/>
            <w:szCs w:val="27"/>
            <w:u w:val="single"/>
            <w:lang w:eastAsia="it-IT"/>
          </w:rPr>
          <w:t>decreto legislativo n. 165 del 2001</w:t>
        </w:r>
      </w:hyperlink>
      <w:r w:rsidRPr="008E327F">
        <w:rPr>
          <w:rFonts w:ascii="Arial" w:eastAsia="Times New Roman" w:hAnsi="Arial" w:cs="Arial"/>
          <w:color w:val="19191A"/>
          <w:sz w:val="27"/>
          <w:szCs w:val="27"/>
          <w:lang w:eastAsia="it-IT"/>
        </w:rPr>
        <w:t>, ove dotato di qualifica dirigenziale. I nominativi dei soggetti individuati ai sensi del presente comma sono comunicati alla Presidenza del Consiglio dei ministri - Dipartimento della funzione pubblica.</w:t>
      </w:r>
      <w:r w:rsidRPr="008E327F">
        <w:rPr>
          <w:rFonts w:ascii="Arial" w:eastAsia="Times New Roman" w:hAnsi="Arial" w:cs="Arial"/>
          <w:color w:val="19191A"/>
          <w:sz w:val="27"/>
          <w:szCs w:val="27"/>
          <w:lang w:eastAsia="it-IT"/>
        </w:rPr>
        <w:br/>
        <w:t>2-ter. Le pubbliche amministrazioni di cui al comma 1, con meno di cinquanta dipendenti, possono eventualmente applicare le previsioni di cui al comma 2-bis, anche ricorrendo a forme di gestione associata».</w:t>
      </w:r>
      <w:r w:rsidRPr="008E327F">
        <w:rPr>
          <w:rFonts w:ascii="Arial" w:eastAsia="Times New Roman" w:hAnsi="Arial" w:cs="Arial"/>
          <w:color w:val="19191A"/>
          <w:sz w:val="27"/>
          <w:szCs w:val="27"/>
          <w:lang w:eastAsia="it-IT"/>
        </w:rPr>
        <w:br/>
      </w:r>
    </w:p>
    <w:p w:rsidR="00777081" w:rsidRPr="008E327F" w:rsidP="008E327F">
      <w:pPr>
        <w:shd w:val="clear" w:color="auto" w:fill="FFFFFF"/>
        <w:spacing w:after="0" w:line="240" w:lineRule="auto"/>
        <w:rPr>
          <w:rFonts w:ascii="Arial" w:eastAsia="Times New Roman" w:hAnsi="Arial" w:cs="Arial"/>
          <w:color w:val="990000"/>
          <w:sz w:val="27"/>
          <w:szCs w:val="27"/>
          <w:lang w:eastAsia="it-IT"/>
        </w:rPr>
      </w:pPr>
      <w:r w:rsidRPr="008E327F">
        <w:rPr>
          <w:rFonts w:ascii="Arial" w:eastAsia="Times New Roman" w:hAnsi="Arial" w:cs="Arial"/>
          <w:color w:val="990000"/>
          <w:sz w:val="27"/>
          <w:szCs w:val="27"/>
          <w:lang w:eastAsia="it-IT"/>
        </w:rPr>
        <w:t>Note all'art. 3:</w:t>
      </w:r>
      <w:r w:rsidRPr="008E327F">
        <w:rPr>
          <w:rFonts w:ascii="Arial" w:eastAsia="Times New Roman" w:hAnsi="Arial" w:cs="Arial"/>
          <w:color w:val="990000"/>
          <w:sz w:val="27"/>
          <w:szCs w:val="27"/>
          <w:lang w:eastAsia="it-IT"/>
        </w:rPr>
        <w:br/>
        <w:t>- Si riporta il testo dell'</w:t>
      </w:r>
      <w:hyperlink r:id="rId4" w:tgtFrame="_blank" w:history="1">
        <w:r w:rsidRPr="008E327F">
          <w:rPr>
            <w:rFonts w:ascii="Arial" w:eastAsia="Times New Roman" w:hAnsi="Arial" w:cs="Arial"/>
            <w:color w:val="0066CC"/>
            <w:sz w:val="27"/>
            <w:szCs w:val="27"/>
            <w:u w:val="single"/>
            <w:lang w:eastAsia="it-IT"/>
          </w:rPr>
          <w:t>art. 6 del decreto-legge 9 giugno 2021, n. 80</w:t>
        </w:r>
      </w:hyperlink>
      <w:r w:rsidRPr="008E327F">
        <w:rPr>
          <w:rFonts w:ascii="Arial" w:eastAsia="Times New Roman" w:hAnsi="Arial" w:cs="Arial"/>
          <w:color w:val="990000"/>
          <w:sz w:val="27"/>
          <w:szCs w:val="27"/>
          <w:lang w:eastAsia="it-IT"/>
        </w:rPr>
        <w:t>, convertito, con modificazioni dalla </w:t>
      </w:r>
      <w:hyperlink r:id="rId5" w:tgtFrame="_blank" w:history="1">
        <w:r w:rsidRPr="008E327F">
          <w:rPr>
            <w:rFonts w:ascii="Arial" w:eastAsia="Times New Roman" w:hAnsi="Arial" w:cs="Arial"/>
            <w:color w:val="0066CC"/>
            <w:sz w:val="27"/>
            <w:szCs w:val="27"/>
            <w:u w:val="single"/>
            <w:lang w:eastAsia="it-IT"/>
          </w:rPr>
          <w:t>legge 6 agosto 2021, n. 113</w:t>
        </w:r>
      </w:hyperlink>
      <w:r w:rsidRPr="008E327F">
        <w:rPr>
          <w:rFonts w:ascii="Arial" w:eastAsia="Times New Roman" w:hAnsi="Arial" w:cs="Arial"/>
          <w:color w:val="990000"/>
          <w:sz w:val="27"/>
          <w:szCs w:val="27"/>
          <w:lang w:eastAsia="it-IT"/>
        </w:rPr>
        <w:t> (Misure urgenti per il rafforzamento della capacità amministrativa delle pubbliche amministrazioni funzionale all'attuazione del Piano nazionale di ripresa e resilienza (PNRR) e per l'efficienza della giustizia), come modificato dal presente decreto:</w:t>
      </w:r>
      <w:r w:rsidRPr="008E327F">
        <w:rPr>
          <w:rFonts w:ascii="Arial" w:eastAsia="Times New Roman" w:hAnsi="Arial" w:cs="Arial"/>
          <w:color w:val="990000"/>
          <w:sz w:val="27"/>
          <w:szCs w:val="27"/>
          <w:lang w:eastAsia="it-IT"/>
        </w:rPr>
        <w:br/>
        <w:t>«Art. 6 (Piano integrato di attività e organizzazione). - 1.Per assicurare la qualità e la trasparenza dell'attività amministrativa e migliorare la qualità dei servizi ai cittadini e alle imprese e procedere alla costante e progressiva semplificazione e reingegnerizzazione dei processi anche in materia di diritto di accesso, le pubbliche amministrazioni, con esclusione delle scuole di ogni ordine e grado e delle istituzioni educative, di cui all'</w:t>
      </w:r>
      <w:hyperlink r:id="rId7" w:tgtFrame="_blank" w:history="1">
        <w:r w:rsidRPr="008E327F">
          <w:rPr>
            <w:rFonts w:ascii="Arial" w:eastAsia="Times New Roman" w:hAnsi="Arial" w:cs="Arial"/>
            <w:color w:val="0066CC"/>
            <w:sz w:val="27"/>
            <w:szCs w:val="27"/>
            <w:u w:val="single"/>
            <w:lang w:eastAsia="it-IT"/>
          </w:rPr>
          <w:t>articolo 1, comma 2, del decreto legislativo 30 marzo 2001, n. 165</w:t>
        </w:r>
      </w:hyperlink>
      <w:r w:rsidRPr="008E327F">
        <w:rPr>
          <w:rFonts w:ascii="Arial" w:eastAsia="Times New Roman" w:hAnsi="Arial" w:cs="Arial"/>
          <w:color w:val="990000"/>
          <w:sz w:val="27"/>
          <w:szCs w:val="27"/>
          <w:lang w:eastAsia="it-IT"/>
        </w:rPr>
        <w:t>, con più di cinquanta dipendenti, entro il 31 gennaio (52) di ogni anno adottano il Piano integrato di attività e organizzazione, di seguito denominato Piano, nel rispetto delle vigenti discipline di settore e, in particolare, deldecreto legislativo 27 ottobre 2009, n. 150e dellalegge 6 novembre 2012, n. 190.</w:t>
      </w:r>
      <w:r w:rsidRPr="008E327F">
        <w:rPr>
          <w:rFonts w:ascii="Arial" w:eastAsia="Times New Roman" w:hAnsi="Arial" w:cs="Arial"/>
          <w:color w:val="990000"/>
          <w:sz w:val="27"/>
          <w:szCs w:val="27"/>
          <w:lang w:eastAsia="it-IT"/>
        </w:rPr>
        <w:br/>
        <w:t>2. Il Piano ha durata triennale, viene aggiornato annualmente e definisce:</w:t>
      </w:r>
      <w:r w:rsidRPr="008E327F">
        <w:rPr>
          <w:rFonts w:ascii="Arial" w:eastAsia="Times New Roman" w:hAnsi="Arial" w:cs="Arial"/>
          <w:color w:val="990000"/>
          <w:sz w:val="27"/>
          <w:szCs w:val="27"/>
          <w:lang w:eastAsia="it-IT"/>
        </w:rPr>
        <w:br/>
        <w:t>a) gli obiettivi programmatici e strategici della performance secondo i principi e criteri direttivi di cui all'</w:t>
      </w:r>
      <w:hyperlink r:id="rId8" w:tgtFrame="_blank" w:history="1">
        <w:r w:rsidRPr="008E327F">
          <w:rPr>
            <w:rFonts w:ascii="Arial" w:eastAsia="Times New Roman" w:hAnsi="Arial" w:cs="Arial"/>
            <w:color w:val="0066CC"/>
            <w:sz w:val="27"/>
            <w:szCs w:val="27"/>
            <w:u w:val="single"/>
            <w:lang w:eastAsia="it-IT"/>
          </w:rPr>
          <w:t>articolo 10 del decreto legislativo 27 ottobre 2009, n. 150</w:t>
        </w:r>
      </w:hyperlink>
      <w:r w:rsidRPr="008E327F">
        <w:rPr>
          <w:rFonts w:ascii="Arial" w:eastAsia="Times New Roman" w:hAnsi="Arial" w:cs="Arial"/>
          <w:color w:val="990000"/>
          <w:sz w:val="27"/>
          <w:szCs w:val="27"/>
          <w:lang w:eastAsia="it-IT"/>
        </w:rPr>
        <w:t xml:space="preserve">, stabilendo il necessario collegamento della performance individuale ai risultati </w:t>
      </w:r>
    </w:p>
    <w:sectPr>
      <w:pgSz w:w="11906" w:h="16838"/>
      <w:pgMar w:top="1417" w:right="1134" w:bottom="1134" w:left="1134"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DAD"/>
    <w:rsid w:val="00777081"/>
    <w:rsid w:val="008E327F"/>
    <w:rsid w:val="00915DAD"/>
  </w:rsids>
  <m:mathPr>
    <m:mathFont m:val="Cambria Math"/>
  </m:mathPr>
  <w:themeFontLang w:val="it-IT"/>
  <w:clrSchemeMapping w:bg1="light1" w:t1="dark1" w:bg2="light2" w:t2="dark2" w:accent1="accent1" w:accent2="accent2" w:accent3="accent3" w:accent4="accent4" w:accent5="accent5" w:accent6="accent6" w:hyperlink="hyperlink" w:followedHyperlink="followedHyperlink"/>
  <w14:docId w14:val="684D86D1"/>
  <w15:chartTrackingRefBased/>
  <w15:docId w15:val="{A59D40D2-A1E6-4E66-A284-7696C3F7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Titolo2Carattere"/>
    <w:uiPriority w:val="9"/>
    <w:qFormat/>
    <w:rsid w:val="008E327F"/>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olo2Carattere">
    <w:name w:val="Titolo 2 Carattere"/>
    <w:basedOn w:val="DefaultParagraphFont"/>
    <w:link w:val="Heading2"/>
    <w:uiPriority w:val="9"/>
    <w:rsid w:val="008E327F"/>
    <w:rPr>
      <w:rFonts w:ascii="Times New Roman" w:eastAsia="Times New Roman" w:hAnsi="Times New Roman" w:cs="Times New Roman"/>
      <w:b/>
      <w:bCs/>
      <w:sz w:val="36"/>
      <w:szCs w:val="36"/>
      <w:lang w:eastAsia="it-IT"/>
    </w:rPr>
  </w:style>
  <w:style w:type="character" w:customStyle="1" w:styleId="comma-num-akn">
    <w:name w:val="comma-num-akn"/>
    <w:basedOn w:val="DefaultParagraphFont"/>
    <w:rsid w:val="008E327F"/>
  </w:style>
  <w:style w:type="character" w:customStyle="1" w:styleId="arttextincomma">
    <w:name w:val="art_text_in_comma"/>
    <w:basedOn w:val="DefaultParagraphFont"/>
    <w:rsid w:val="008E327F"/>
  </w:style>
  <w:style w:type="character" w:styleId="Hyperlink">
    <w:name w:val="Hyperlink"/>
    <w:basedOn w:val="DefaultParagraphFont"/>
    <w:uiPriority w:val="99"/>
    <w:semiHidden/>
    <w:unhideWhenUsed/>
    <w:rsid w:val="008E3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normattiva.it/uri-res/N2Ls?urn:nir:stato:decreto.legge:2021-06-09;80~art6" TargetMode="External" /><Relationship Id="rId5" Type="http://schemas.openxmlformats.org/officeDocument/2006/relationships/hyperlink" Target="https://www.normattiva.it/uri-res/N2Ls?urn:nir:stato:legge:2021-08-06;113" TargetMode="External" /><Relationship Id="rId6" Type="http://schemas.openxmlformats.org/officeDocument/2006/relationships/hyperlink" Target="https://www.normattiva.it/uri-res/N2Ls?urn:nir:stato:decreto.legislativo:2001;165" TargetMode="External" /><Relationship Id="rId7" Type="http://schemas.openxmlformats.org/officeDocument/2006/relationships/hyperlink" Target="https://www.normattiva.it/uri-res/N2Ls?urn:nir:stato:decreto.legislativo:2001-03-30;165~art1-com2" TargetMode="External" /><Relationship Id="rId8" Type="http://schemas.openxmlformats.org/officeDocument/2006/relationships/hyperlink" Target="https://www.normattiva.it/uri-res/N2Ls?urn:nir:stato:decreto.legislativo:2009-10-27;150~art10" TargetMode="External" /><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2213</Words>
  <Characters>12616</Characters>
  <Application>Microsoft Office Word</Application>
  <DocSecurity>0</DocSecurity>
  <Lines>105</Lines>
  <Paragraphs>29</Paragraphs>
  <ScaleCrop>false</ScaleCrop>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PACINI_CARMEN</dc:creator>
  <cp:lastModifiedBy>PACINI_CARMEN</cp:lastModifiedBy>
  <cp:revision>2</cp:revision>
  <dcterms:created xsi:type="dcterms:W3CDTF">2025-04-28T09:33:00Z</dcterms:created>
  <dcterms:modified xsi:type="dcterms:W3CDTF">2025-04-28T09:34:00Z</dcterms:modified>
</cp:coreProperties>
</file>