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777081" w:rsidRPr="008E327F" w:rsidP="008E327F">
      <w:pPr>
        <w:shd w:val="clear" w:color="auto" w:fill="FFFFFF"/>
        <w:spacing w:before="0" w:after="0" w:line="240" w:lineRule="auto"/>
        <w:ind w:firstLine="0"/>
        <w:rPr>
          <w:rFonts w:ascii="Arial" w:eastAsia="Times New Roman" w:hAnsi="Arial" w:cs="Arial"/>
          <w:color w:val="990000"/>
          <w:sz w:val="27"/>
          <w:szCs w:val="27"/>
          <w:lang w:eastAsia="it-IT"/>
        </w:rPr>
      </w:pPr>
      <w:r w:rsidRPr="008E327F">
        <w:rPr>
          <w:rFonts w:ascii="Arial" w:eastAsia="Times New Roman" w:hAnsi="Arial" w:cs="Arial"/>
          <w:color w:val="990000"/>
          <w:sz w:val="27"/>
          <w:szCs w:val="27"/>
          <w:lang w:eastAsia="it-IT"/>
        </w:rPr>
        <w:t>dotato di qualifica dirigenziale. I nominativi dei soggetti individuati ai sensi del presente comma sono comunicati alla Presidenza del Consiglio dei ministri-Dipartimento della funzione pubblica.</w:t>
      </w:r>
      <w:r w:rsidRPr="008E327F">
        <w:rPr>
          <w:rFonts w:ascii="Arial" w:eastAsia="Times New Roman" w:hAnsi="Arial" w:cs="Arial"/>
          <w:color w:val="990000"/>
          <w:sz w:val="27"/>
          <w:szCs w:val="27"/>
          <w:lang w:eastAsia="it-IT"/>
        </w:rPr>
        <w:br/>
        <w:t>2-ter. Le pubbliche amministrazioni di cui al comma 1, con meno di cinquanta dipendenti, possono eventualmente applicare le previsioni di cui al comma 2-bis, anche ricorrendo a forme di gestione associata.</w:t>
      </w:r>
      <w:r w:rsidRPr="008E327F">
        <w:rPr>
          <w:rFonts w:ascii="Arial" w:eastAsia="Times New Roman" w:hAnsi="Arial" w:cs="Arial"/>
          <w:color w:val="990000"/>
          <w:sz w:val="27"/>
          <w:szCs w:val="27"/>
          <w:lang w:eastAsia="it-IT"/>
        </w:rPr>
        <w:br/>
        <w:t>3. Il Piano definisce le modalità di monitoraggio degli esiti, con cadenza periodica, inclusi gli impatti sugli utenti, anche attraverso rilevazioni della soddisfazione degli utenti stessi mediante gli strumenti di cui aldecreto legislativo 27 ottobre 2009, n. 150, nonché le modalità di monitoraggio dei procedimenti attivati ai sensi deldecreto legislativo 20 dicembre 2009, n. 198.</w:t>
      </w:r>
      <w:r w:rsidRPr="008E327F">
        <w:rPr>
          <w:rFonts w:ascii="Arial" w:eastAsia="Times New Roman" w:hAnsi="Arial" w:cs="Arial"/>
          <w:color w:val="990000"/>
          <w:sz w:val="27"/>
          <w:szCs w:val="27"/>
          <w:lang w:eastAsia="it-IT"/>
        </w:rPr>
        <w:br/>
        <w:t>4. Le pubbliche amministrazioni di cui al comma 1 del presente articolo pubblicano il Piano e i relativi aggiornamenti entro il 31 gennaio di ogni anno nel proprio sito internet istituzionale e li inviano al Dipartimento della funzione pubblica della Presidenza del Consiglio dei ministri per la pubblicazione sul relativo portale.</w:t>
      </w:r>
      <w:r w:rsidRPr="008E327F">
        <w:rPr>
          <w:rFonts w:ascii="Arial" w:eastAsia="Times New Roman" w:hAnsi="Arial" w:cs="Arial"/>
          <w:color w:val="990000"/>
          <w:sz w:val="27"/>
          <w:szCs w:val="27"/>
          <w:lang w:eastAsia="it-IT"/>
        </w:rPr>
        <w:br/>
        <w:t>5. Entro il 31 marzo 2022, con uno o più decreti del Presidente della Repubblica, adottati ai sensi dell'</w:t>
      </w:r>
      <w:hyperlink r:id="rId4" w:tgtFrame="_blank" w:history="1">
        <w:r w:rsidRPr="008E327F">
          <w:rPr>
            <w:rFonts w:ascii="Arial" w:eastAsia="Times New Roman" w:hAnsi="Arial" w:cs="Arial"/>
            <w:color w:val="0066CC"/>
            <w:sz w:val="27"/>
            <w:szCs w:val="27"/>
            <w:u w:val="single"/>
            <w:lang w:eastAsia="it-IT"/>
          </w:rPr>
          <w:t>articolo 17, comma 2, della legge 23 agosto 1988, n. 400</w:t>
        </w:r>
      </w:hyperlink>
      <w:r w:rsidRPr="008E327F">
        <w:rPr>
          <w:rFonts w:ascii="Arial" w:eastAsia="Times New Roman" w:hAnsi="Arial" w:cs="Arial"/>
          <w:color w:val="990000"/>
          <w:sz w:val="27"/>
          <w:szCs w:val="27"/>
          <w:lang w:eastAsia="it-IT"/>
        </w:rPr>
        <w:t>, previa intesa in sede di Conferenza unificata, ai sensi dell'</w:t>
      </w:r>
      <w:hyperlink r:id="rId5" w:tgtFrame="_blank" w:history="1">
        <w:r w:rsidRPr="008E327F">
          <w:rPr>
            <w:rFonts w:ascii="Arial" w:eastAsia="Times New Roman" w:hAnsi="Arial" w:cs="Arial"/>
            <w:color w:val="0066CC"/>
            <w:sz w:val="27"/>
            <w:szCs w:val="27"/>
            <w:u w:val="single"/>
            <w:lang w:eastAsia="it-IT"/>
          </w:rPr>
          <w:t>articolo 9, comma 2, del decreto legislativo 28 agosto 1997, n. 281</w:t>
        </w:r>
      </w:hyperlink>
      <w:r w:rsidRPr="008E327F">
        <w:rPr>
          <w:rFonts w:ascii="Arial" w:eastAsia="Times New Roman" w:hAnsi="Arial" w:cs="Arial"/>
          <w:color w:val="990000"/>
          <w:sz w:val="27"/>
          <w:szCs w:val="27"/>
          <w:lang w:eastAsia="it-IT"/>
        </w:rPr>
        <w:t>, sono individuati e abrogati gli adempimenti relativi ai piani assorbiti da quello di cui al presente articolo.</w:t>
      </w:r>
      <w:r w:rsidRPr="008E327F">
        <w:rPr>
          <w:rFonts w:ascii="Arial" w:eastAsia="Times New Roman" w:hAnsi="Arial" w:cs="Arial"/>
          <w:color w:val="990000"/>
          <w:sz w:val="27"/>
          <w:szCs w:val="27"/>
          <w:lang w:eastAsia="it-IT"/>
        </w:rPr>
        <w:br/>
        <w:t>6. Entro il medesimo termine di cui al comma 5, con decreto del Ministro per la pubblica amministrazione, di concerto con il Ministro dell'economia e delle finanze, previa intesa in sede di Conferenza unificata, ai sensi dell'</w:t>
      </w:r>
      <w:hyperlink r:id="rId5" w:tgtFrame="_blank" w:history="1">
        <w:r w:rsidRPr="008E327F">
          <w:rPr>
            <w:rFonts w:ascii="Arial" w:eastAsia="Times New Roman" w:hAnsi="Arial" w:cs="Arial"/>
            <w:color w:val="0066CC"/>
            <w:sz w:val="27"/>
            <w:szCs w:val="27"/>
            <w:u w:val="single"/>
            <w:lang w:eastAsia="it-IT"/>
          </w:rPr>
          <w:t>articolo 9, comma 2, del decreto legislativo 28 agosto 1997, n. 281</w:t>
        </w:r>
      </w:hyperlink>
      <w:r w:rsidRPr="008E327F">
        <w:rPr>
          <w:rFonts w:ascii="Arial" w:eastAsia="Times New Roman" w:hAnsi="Arial" w:cs="Arial"/>
          <w:color w:val="990000"/>
          <w:sz w:val="27"/>
          <w:szCs w:val="27"/>
          <w:lang w:eastAsia="it-IT"/>
        </w:rPr>
        <w:t>, è adottato un Piano tipo, quale strumento di supporto alle amministrazioni di cui al comma 1. Nel Piano tipo sono definite modalità semplificate per l'adozione del Piano di cui al comma 1 da parte delle amministrazioni con meno di cinquanta dipendenti.</w:t>
      </w:r>
      <w:r w:rsidRPr="008E327F">
        <w:rPr>
          <w:rFonts w:ascii="Arial" w:eastAsia="Times New Roman" w:hAnsi="Arial" w:cs="Arial"/>
          <w:color w:val="990000"/>
          <w:sz w:val="27"/>
          <w:szCs w:val="27"/>
          <w:lang w:eastAsia="it-IT"/>
        </w:rPr>
        <w:br/>
        <w:t>6-bis. In sede di prima applicazione il Piano è adottato entro il 30 giugno 2022 e fino al predetto termine non si applicano le sanzioni previste dalle seguenti disposizioni:</w:t>
      </w:r>
      <w:r w:rsidRPr="008E327F">
        <w:rPr>
          <w:rFonts w:ascii="Arial" w:eastAsia="Times New Roman" w:hAnsi="Arial" w:cs="Arial"/>
          <w:color w:val="990000"/>
          <w:sz w:val="27"/>
          <w:szCs w:val="27"/>
          <w:lang w:eastAsia="it-IT"/>
        </w:rPr>
        <w:br/>
        <w:t>a) </w:t>
      </w:r>
      <w:hyperlink r:id="rId6" w:tgtFrame="_blank" w:history="1">
        <w:r w:rsidRPr="008E327F">
          <w:rPr>
            <w:rFonts w:ascii="Arial" w:eastAsia="Times New Roman" w:hAnsi="Arial" w:cs="Arial"/>
            <w:color w:val="0066CC"/>
            <w:sz w:val="27"/>
            <w:szCs w:val="27"/>
            <w:u w:val="single"/>
            <w:lang w:eastAsia="it-IT"/>
          </w:rPr>
          <w:t>articolo 10, comma 5, del decreto legislativo 27 ottobre 2009, n. 150</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b) </w:t>
      </w:r>
      <w:hyperlink r:id="rId7" w:tgtFrame="_blank" w:history="1">
        <w:r w:rsidRPr="008E327F">
          <w:rPr>
            <w:rFonts w:ascii="Arial" w:eastAsia="Times New Roman" w:hAnsi="Arial" w:cs="Arial"/>
            <w:color w:val="0066CC"/>
            <w:sz w:val="27"/>
            <w:szCs w:val="27"/>
            <w:u w:val="single"/>
            <w:lang w:eastAsia="it-IT"/>
          </w:rPr>
          <w:t>articolo 14, comma 1, della legge 7 agosto 2015, n. 124</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c) </w:t>
      </w:r>
      <w:hyperlink r:id="rId8" w:tgtFrame="_blank" w:history="1">
        <w:r w:rsidRPr="008E327F">
          <w:rPr>
            <w:rFonts w:ascii="Arial" w:eastAsia="Times New Roman" w:hAnsi="Arial" w:cs="Arial"/>
            <w:color w:val="0066CC"/>
            <w:sz w:val="27"/>
            <w:szCs w:val="27"/>
            <w:u w:val="single"/>
            <w:lang w:eastAsia="it-IT"/>
          </w:rPr>
          <w:t>articolo 6, comma 6, del decreto legislativo 30 marzo 2001, n. 165</w:t>
        </w:r>
      </w:hyperlink>
      <w:r w:rsidRPr="008E327F">
        <w:rPr>
          <w:rFonts w:ascii="Arial" w:eastAsia="Times New Roman" w:hAnsi="Arial" w:cs="Arial"/>
          <w:color w:val="990000"/>
          <w:sz w:val="27"/>
          <w:szCs w:val="27"/>
          <w:lang w:eastAsia="it-IT"/>
        </w:rPr>
        <w:t>.</w:t>
      </w:r>
      <w:r w:rsidRPr="008E327F">
        <w:rPr>
          <w:rFonts w:ascii="Arial" w:eastAsia="Times New Roman" w:hAnsi="Arial" w:cs="Arial"/>
          <w:color w:val="990000"/>
          <w:sz w:val="27"/>
          <w:szCs w:val="27"/>
          <w:lang w:eastAsia="it-IT"/>
        </w:rPr>
        <w:br/>
        <w:t>7. In caso di mancata adozione del Piano trovano applicazione le sanzioni di cui all'</w:t>
      </w:r>
      <w:hyperlink r:id="rId6" w:tgtFrame="_blank" w:history="1">
        <w:r w:rsidRPr="008E327F">
          <w:rPr>
            <w:rFonts w:ascii="Arial" w:eastAsia="Times New Roman" w:hAnsi="Arial" w:cs="Arial"/>
            <w:color w:val="0066CC"/>
            <w:sz w:val="27"/>
            <w:szCs w:val="27"/>
            <w:u w:val="single"/>
            <w:lang w:eastAsia="it-IT"/>
          </w:rPr>
          <w:t>articolo 10, comma 5, del decreto legislativo 27 ottobre 2009, n. 150</w:t>
        </w:r>
      </w:hyperlink>
      <w:r w:rsidRPr="008E327F">
        <w:rPr>
          <w:rFonts w:ascii="Arial" w:eastAsia="Times New Roman" w:hAnsi="Arial" w:cs="Arial"/>
          <w:color w:val="990000"/>
          <w:sz w:val="27"/>
          <w:szCs w:val="27"/>
          <w:lang w:eastAsia="it-IT"/>
        </w:rPr>
        <w:t>, ferme restando quelle previste dall'</w:t>
      </w:r>
      <w:hyperlink r:id="rId9" w:tgtFrame="_blank" w:history="1">
        <w:r w:rsidRPr="008E327F">
          <w:rPr>
            <w:rFonts w:ascii="Arial" w:eastAsia="Times New Roman" w:hAnsi="Arial" w:cs="Arial"/>
            <w:color w:val="0066CC"/>
            <w:sz w:val="27"/>
            <w:szCs w:val="27"/>
            <w:u w:val="single"/>
            <w:lang w:eastAsia="it-IT"/>
          </w:rPr>
          <w:t>articolo 19, comma 5, lettera b), del decreto-legge 24 giugno 2014, n. 90</w:t>
        </w:r>
      </w:hyperlink>
      <w:r w:rsidRPr="008E327F">
        <w:rPr>
          <w:rFonts w:ascii="Arial" w:eastAsia="Times New Roman" w:hAnsi="Arial" w:cs="Arial"/>
          <w:color w:val="990000"/>
          <w:sz w:val="27"/>
          <w:szCs w:val="27"/>
          <w:lang w:eastAsia="it-IT"/>
        </w:rPr>
        <w:t>, convertito, con modificazioni, dallalegge 11 agosto 2014, n. 114. In caso di differimento del termine previsto a legislazione vigente per l'approvazione del bilancio, gli enti locali, nelle more dell'approvazione del Piano, possono aggiornare la sottosezione relativa alla programmazione del fabbisogno di personale al solo fine di procedere, compatibilmente con gli stanziamenti di bilancio e nel rispetto delle regole per l'assunzione degli impegni di spesa durante l'esercizio provvisorio, alle assunzioni di personale con contratto di lavoro a tempo determinato ai sensi dell'articolo 9, comma 1-quinquies, ultimo periodo, del </w:t>
      </w:r>
      <w:hyperlink r:id="rId10" w:tgtFrame="_blank" w:history="1">
        <w:r w:rsidRPr="008E327F">
          <w:rPr>
            <w:rFonts w:ascii="Arial" w:eastAsia="Times New Roman" w:hAnsi="Arial" w:cs="Arial"/>
            <w:color w:val="0066CC"/>
            <w:sz w:val="27"/>
            <w:szCs w:val="27"/>
            <w:u w:val="single"/>
            <w:lang w:eastAsia="it-IT"/>
          </w:rPr>
          <w:t>decreto-legge 24 giugno 2016, n. 113</w:t>
        </w:r>
      </w:hyperlink>
      <w:r w:rsidRPr="008E327F">
        <w:rPr>
          <w:rFonts w:ascii="Arial" w:eastAsia="Times New Roman" w:hAnsi="Arial" w:cs="Arial"/>
          <w:color w:val="990000"/>
          <w:sz w:val="27"/>
          <w:szCs w:val="27"/>
          <w:lang w:eastAsia="it-IT"/>
        </w:rPr>
        <w:t xml:space="preserve">, convertito, con modificazioni, </w:t>
      </w:r>
    </w:p>
    <w:sectPr>
      <w:pgSz w:w="11906" w:h="16838"/>
      <w:pgMar w:top="1417" w:right="1134" w:bottom="1134" w:left="1134" w:header="708" w:footer="708" w:gutter="0"/>
      <w:pgNumType w:start="3"/>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D"/>
    <w:rsid w:val="00777081"/>
    <w:rsid w:val="008E327F"/>
    <w:rsid w:val="00915DAD"/>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684D86D1"/>
  <w15:chartTrackingRefBased/>
  <w15:docId w15:val="{A59D40D2-A1E6-4E66-A284-7696C3F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8E327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8E327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8E327F"/>
  </w:style>
  <w:style w:type="character" w:customStyle="1" w:styleId="arttextincomma">
    <w:name w:val="art_text_in_comma"/>
    <w:basedOn w:val="DefaultParagraphFont"/>
    <w:rsid w:val="008E327F"/>
  </w:style>
  <w:style w:type="character" w:styleId="Hyperlink">
    <w:name w:val="Hyperlink"/>
    <w:basedOn w:val="DefaultParagraphFont"/>
    <w:uiPriority w:val="99"/>
    <w:semiHidden/>
    <w:unhideWhenUsed/>
    <w:rsid w:val="008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ormattiva.it/uri-res/N2Ls?urn:nir:stato:decreto.legge:2016-06-24;11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legge:1988-08-23;400~art17-com2" TargetMode="External" /><Relationship Id="rId5" Type="http://schemas.openxmlformats.org/officeDocument/2006/relationships/hyperlink" Target="https://www.normattiva.it/uri-res/N2Ls?urn:nir:stato:decreto.legislativo:1997-08-28;281~art9-com2" TargetMode="External" /><Relationship Id="rId6" Type="http://schemas.openxmlformats.org/officeDocument/2006/relationships/hyperlink" Target="https://www.normattiva.it/uri-res/N2Ls?urn:nir:stato:decreto.legislativo:2009-10-27;150~art10-com5" TargetMode="External" /><Relationship Id="rId7" Type="http://schemas.openxmlformats.org/officeDocument/2006/relationships/hyperlink" Target="https://www.normattiva.it/uri-res/N2Ls?urn:nir:stato:legge:2015-08-07;124~art14-com1" TargetMode="External" /><Relationship Id="rId8" Type="http://schemas.openxmlformats.org/officeDocument/2006/relationships/hyperlink" Target="https://www.normattiva.it/uri-res/N2Ls?urn:nir:stato:decreto.legislativo:2001-03-30;165~art6-com6" TargetMode="External" /><Relationship Id="rId9" Type="http://schemas.openxmlformats.org/officeDocument/2006/relationships/hyperlink" Target="https://www.normattiva.it/uri-res/N2Ls?urn:nir:stato:decreto.legge:2014-06-24;90~art19-com5-letb"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2025-04-28T09:33:00Z</dcterms:created>
  <dcterms:modified xsi:type="dcterms:W3CDTF">2025-04-28T09:34:00Z</dcterms:modified>
</cp:coreProperties>
</file>