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C6C" w:rsidRPr="00B71C6C" w:rsidRDefault="00B71C6C" w:rsidP="00B71C6C">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B71C6C">
        <w:rPr>
          <w:rFonts w:ascii="Arial" w:eastAsia="Times New Roman" w:hAnsi="Arial" w:cs="Arial"/>
          <w:b/>
          <w:bCs/>
          <w:color w:val="19191A"/>
          <w:sz w:val="36"/>
          <w:szCs w:val="36"/>
          <w:lang w:eastAsia="it-IT"/>
        </w:rPr>
        <w:t>Art. 4</w:t>
      </w:r>
    </w:p>
    <w:p w:rsidR="00B71C6C" w:rsidRPr="00B71C6C" w:rsidRDefault="00B71C6C" w:rsidP="00B71C6C">
      <w:pPr>
        <w:shd w:val="clear" w:color="auto" w:fill="FFFFFF"/>
        <w:spacing w:after="0" w:line="240" w:lineRule="auto"/>
        <w:jc w:val="center"/>
        <w:rPr>
          <w:rFonts w:ascii="Arial" w:eastAsia="Times New Roman" w:hAnsi="Arial" w:cs="Arial"/>
          <w:color w:val="19191A"/>
          <w:sz w:val="27"/>
          <w:szCs w:val="27"/>
          <w:lang w:eastAsia="it-IT"/>
        </w:rPr>
      </w:pPr>
      <w:r w:rsidRPr="00B71C6C">
        <w:rPr>
          <w:rFonts w:ascii="Arial" w:eastAsia="Times New Roman" w:hAnsi="Arial" w:cs="Arial"/>
          <w:color w:val="19191A"/>
          <w:sz w:val="27"/>
          <w:szCs w:val="27"/>
          <w:lang w:eastAsia="it-IT"/>
        </w:rPr>
        <w:t>Inclusione sociale e accesso delle persone con disabilità tra gli obiettivi di produttività nella pubblica amministrazione</w:t>
      </w:r>
    </w:p>
    <w:p w:rsidR="00B71C6C" w:rsidRPr="00B71C6C" w:rsidRDefault="00B71C6C" w:rsidP="00B71C6C">
      <w:pPr>
        <w:shd w:val="clear" w:color="auto" w:fill="FFFFFF"/>
        <w:spacing w:after="0" w:line="240" w:lineRule="auto"/>
        <w:rPr>
          <w:rFonts w:ascii="Arial" w:eastAsia="Times New Roman" w:hAnsi="Arial" w:cs="Arial"/>
          <w:color w:val="19191A"/>
          <w:sz w:val="27"/>
          <w:szCs w:val="27"/>
          <w:lang w:eastAsia="it-IT"/>
        </w:rPr>
      </w:pPr>
      <w:r w:rsidRPr="00B71C6C">
        <w:rPr>
          <w:rFonts w:ascii="Arial" w:eastAsia="Times New Roman" w:hAnsi="Arial" w:cs="Arial"/>
          <w:b/>
          <w:bCs/>
          <w:color w:val="19191A"/>
          <w:sz w:val="27"/>
          <w:szCs w:val="27"/>
          <w:lang w:eastAsia="it-IT"/>
        </w:rPr>
        <w:t>1. </w:t>
      </w:r>
      <w:r w:rsidRPr="00B71C6C">
        <w:rPr>
          <w:rFonts w:ascii="Arial" w:eastAsia="Times New Roman" w:hAnsi="Arial" w:cs="Arial"/>
          <w:color w:val="19191A"/>
          <w:sz w:val="27"/>
          <w:szCs w:val="27"/>
          <w:lang w:eastAsia="it-IT"/>
        </w:rPr>
        <w:t>Al </w:t>
      </w:r>
      <w:hyperlink r:id="rId4" w:tgtFrame="_blank" w:history="1">
        <w:r w:rsidRPr="00B71C6C">
          <w:rPr>
            <w:rFonts w:ascii="Arial" w:eastAsia="Times New Roman" w:hAnsi="Arial" w:cs="Arial"/>
            <w:color w:val="0066CC"/>
            <w:sz w:val="27"/>
            <w:szCs w:val="27"/>
            <w:u w:val="single"/>
            <w:lang w:eastAsia="it-IT"/>
          </w:rPr>
          <w:t>decreto legislativo 27 ottobre 2009, n. 150</w:t>
        </w:r>
      </w:hyperlink>
      <w:r w:rsidRPr="00B71C6C">
        <w:rPr>
          <w:rFonts w:ascii="Arial" w:eastAsia="Times New Roman" w:hAnsi="Arial" w:cs="Arial"/>
          <w:color w:val="19191A"/>
          <w:sz w:val="27"/>
          <w:szCs w:val="27"/>
          <w:lang w:eastAsia="it-IT"/>
        </w:rPr>
        <w:t>, sono apportate le seguenti modificazioni:</w:t>
      </w:r>
    </w:p>
    <w:p w:rsidR="00B71C6C" w:rsidRPr="00B71C6C" w:rsidRDefault="00B71C6C" w:rsidP="00B71C6C">
      <w:pPr>
        <w:shd w:val="clear" w:color="auto" w:fill="FFFFFF"/>
        <w:spacing w:after="0" w:line="240" w:lineRule="auto"/>
        <w:ind w:firstLine="150"/>
        <w:rPr>
          <w:rFonts w:ascii="Arial" w:eastAsia="Times New Roman" w:hAnsi="Arial" w:cs="Arial"/>
          <w:color w:val="19191A"/>
          <w:sz w:val="27"/>
          <w:szCs w:val="27"/>
          <w:lang w:eastAsia="it-IT"/>
        </w:rPr>
      </w:pPr>
      <w:r w:rsidRPr="00B71C6C">
        <w:rPr>
          <w:rFonts w:ascii="Arial" w:eastAsia="Times New Roman" w:hAnsi="Arial" w:cs="Arial"/>
          <w:color w:val="19191A"/>
          <w:sz w:val="27"/>
          <w:szCs w:val="27"/>
          <w:lang w:eastAsia="it-IT"/>
        </w:rPr>
        <w:t>a) all'articolo 3, dopo il comma 4, è inserito il seguente:</w:t>
      </w:r>
      <w:r w:rsidRPr="00B71C6C">
        <w:rPr>
          <w:rFonts w:ascii="Arial" w:eastAsia="Times New Roman" w:hAnsi="Arial" w:cs="Arial"/>
          <w:color w:val="19191A"/>
          <w:sz w:val="27"/>
          <w:szCs w:val="27"/>
          <w:lang w:eastAsia="it-IT"/>
        </w:rPr>
        <w:br/>
        <w:t>«4-bis. Nel valutare la performance individuale ed organizzativa di cui al comma 4 si tiene conto del raggiungimento o meno degli obiettivi per l'effettiva inclusione sociale e la possibilità di accesso alle persone con disabilità di cui all'articolo 5, comma 2-bis, anche ai fini dell'applicazione dei commi 5 e 5-bis del presente articolo.»;</w:t>
      </w:r>
    </w:p>
    <w:p w:rsidR="00B71C6C" w:rsidRPr="00B71C6C" w:rsidRDefault="00B71C6C" w:rsidP="00B71C6C">
      <w:pPr>
        <w:shd w:val="clear" w:color="auto" w:fill="FFFFFF"/>
        <w:spacing w:after="0" w:line="240" w:lineRule="auto"/>
        <w:ind w:firstLine="150"/>
        <w:rPr>
          <w:rFonts w:ascii="Arial" w:eastAsia="Times New Roman" w:hAnsi="Arial" w:cs="Arial"/>
          <w:color w:val="19191A"/>
          <w:sz w:val="27"/>
          <w:szCs w:val="27"/>
          <w:lang w:eastAsia="it-IT"/>
        </w:rPr>
      </w:pPr>
      <w:r w:rsidRPr="00B71C6C">
        <w:rPr>
          <w:rFonts w:ascii="Arial" w:eastAsia="Times New Roman" w:hAnsi="Arial" w:cs="Arial"/>
          <w:color w:val="19191A"/>
          <w:sz w:val="27"/>
          <w:szCs w:val="27"/>
          <w:lang w:eastAsia="it-IT"/>
        </w:rPr>
        <w:t>b) all'articolo 5, dopo il comma 2, è aggiunto, in fine, il seguente:</w:t>
      </w:r>
      <w:r w:rsidRPr="00B71C6C">
        <w:rPr>
          <w:rFonts w:ascii="Arial" w:eastAsia="Times New Roman" w:hAnsi="Arial" w:cs="Arial"/>
          <w:color w:val="19191A"/>
          <w:sz w:val="27"/>
          <w:szCs w:val="27"/>
          <w:lang w:eastAsia="it-IT"/>
        </w:rPr>
        <w:br/>
        <w:t>«2-bis. Gli obiettivi, anche nell'ottica di una corretta allocazione delle risorse, assicurano l'effettiva inclusione sociale e le possibilità di accesso delle persone con disabilità.»;</w:t>
      </w:r>
    </w:p>
    <w:p w:rsidR="00B71C6C" w:rsidRPr="00B71C6C" w:rsidRDefault="00B71C6C" w:rsidP="00B71C6C">
      <w:pPr>
        <w:shd w:val="clear" w:color="auto" w:fill="FFFFFF"/>
        <w:spacing w:after="0" w:line="240" w:lineRule="auto"/>
        <w:ind w:firstLine="150"/>
        <w:rPr>
          <w:rFonts w:ascii="Arial" w:eastAsia="Times New Roman" w:hAnsi="Arial" w:cs="Arial"/>
          <w:color w:val="19191A"/>
          <w:sz w:val="27"/>
          <w:szCs w:val="27"/>
          <w:lang w:eastAsia="it-IT"/>
        </w:rPr>
      </w:pPr>
      <w:r w:rsidRPr="00B71C6C">
        <w:rPr>
          <w:rFonts w:ascii="Arial" w:eastAsia="Times New Roman" w:hAnsi="Arial" w:cs="Arial"/>
          <w:color w:val="19191A"/>
          <w:sz w:val="27"/>
          <w:szCs w:val="27"/>
          <w:lang w:eastAsia="it-IT"/>
        </w:rPr>
        <w:t>c) all'articolo 9, comma 1, dopo la lettera d), è aggiunta, in fine, la seguente:</w:t>
      </w:r>
      <w:r w:rsidRPr="00B71C6C">
        <w:rPr>
          <w:rFonts w:ascii="Arial" w:eastAsia="Times New Roman" w:hAnsi="Arial" w:cs="Arial"/>
          <w:color w:val="19191A"/>
          <w:sz w:val="27"/>
          <w:szCs w:val="27"/>
          <w:lang w:eastAsia="it-IT"/>
        </w:rPr>
        <w:br/>
        <w:t>«d-bis) agli indicatori di performance relativi al raggiungimento degli obiettivi derivanti dalla programmazione strategica della piena accessibilità delle amministrazioni, da parte delle persone con disabilità.».</w:t>
      </w:r>
    </w:p>
    <w:p w:rsidR="00B71C6C" w:rsidRPr="00B71C6C" w:rsidRDefault="00B71C6C" w:rsidP="00B71C6C">
      <w:pPr>
        <w:shd w:val="clear" w:color="auto" w:fill="FFFFFF"/>
        <w:spacing w:after="0" w:line="240" w:lineRule="auto"/>
        <w:rPr>
          <w:rFonts w:ascii="Arial" w:eastAsia="Times New Roman" w:hAnsi="Arial" w:cs="Arial"/>
          <w:color w:val="990000"/>
          <w:sz w:val="27"/>
          <w:szCs w:val="27"/>
          <w:lang w:eastAsia="it-IT"/>
        </w:rPr>
      </w:pPr>
      <w:r w:rsidRPr="00B71C6C">
        <w:rPr>
          <w:rFonts w:ascii="Arial" w:eastAsia="Times New Roman" w:hAnsi="Arial" w:cs="Arial"/>
          <w:color w:val="990000"/>
          <w:sz w:val="27"/>
          <w:szCs w:val="27"/>
          <w:lang w:eastAsia="it-IT"/>
        </w:rPr>
        <w:t>Note all'art. 4:</w:t>
      </w:r>
      <w:r w:rsidRPr="00B71C6C">
        <w:rPr>
          <w:rFonts w:ascii="Arial" w:eastAsia="Times New Roman" w:hAnsi="Arial" w:cs="Arial"/>
          <w:color w:val="990000"/>
          <w:sz w:val="27"/>
          <w:szCs w:val="27"/>
          <w:lang w:eastAsia="it-IT"/>
        </w:rPr>
        <w:br/>
        <w:t>- Si riporta il testo degli artt. 3, 5 e 9 del citato </w:t>
      </w:r>
      <w:hyperlink r:id="rId5" w:tgtFrame="_blank" w:history="1">
        <w:r w:rsidRPr="00B71C6C">
          <w:rPr>
            <w:rFonts w:ascii="Arial" w:eastAsia="Times New Roman" w:hAnsi="Arial" w:cs="Arial"/>
            <w:color w:val="0066CC"/>
            <w:sz w:val="27"/>
            <w:szCs w:val="27"/>
            <w:u w:val="single"/>
            <w:lang w:eastAsia="it-IT"/>
          </w:rPr>
          <w:t>decreto legislativo 27 ottobre 2009, n. 150</w:t>
        </w:r>
      </w:hyperlink>
      <w:r w:rsidRPr="00B71C6C">
        <w:rPr>
          <w:rFonts w:ascii="Arial" w:eastAsia="Times New Roman" w:hAnsi="Arial" w:cs="Arial"/>
          <w:color w:val="990000"/>
          <w:sz w:val="27"/>
          <w:szCs w:val="27"/>
          <w:lang w:eastAsia="it-IT"/>
        </w:rPr>
        <w:t>, come modificato dal presente decreto:</w:t>
      </w:r>
      <w:r w:rsidRPr="00B71C6C">
        <w:rPr>
          <w:rFonts w:ascii="Arial" w:eastAsia="Times New Roman" w:hAnsi="Arial" w:cs="Arial"/>
          <w:color w:val="990000"/>
          <w:sz w:val="27"/>
          <w:szCs w:val="27"/>
          <w:lang w:eastAsia="it-IT"/>
        </w:rPr>
        <w:br/>
        <w:t>«Art. 3 (Principi generali). - 1.La misurazione e la valutazione della performance sono volte al miglioramento della qualità dei servizi offerti dalle amministrazioni pubbliche, nonché alla crescita delle competenze professionali, attraverso la valorizzazione del merito e l'erogazione dei premi per i risultati perseguiti dai singoli e dalle unità organizzative in un quadro di pari opportunità di diritti e doveri, trasparenza dei risultati delle amministrazioni pubbliche e delle risorse impiegate per il loro perseguimento.</w:t>
      </w:r>
      <w:r w:rsidRPr="00B71C6C">
        <w:rPr>
          <w:rFonts w:ascii="Arial" w:eastAsia="Times New Roman" w:hAnsi="Arial" w:cs="Arial"/>
          <w:color w:val="990000"/>
          <w:sz w:val="27"/>
          <w:szCs w:val="27"/>
          <w:lang w:eastAsia="it-IT"/>
        </w:rPr>
        <w:br/>
        <w:t>2. Ogni amministrazione pubblica è tenuta a misurare ed a valutare la performance con riferimento all'amministrazione nel suo complesso, alle unità organizzative o aree di responsabilità in cui si articola e ai singoli dipendenti, secondo le modalità indicate nel presente Titolo e gli indirizzi impartiti dal Dipartimento della funzione pubblica ai sensi dell'articolo19deldecreto-</w:t>
      </w:r>
      <w:hyperlink r:id="rId6" w:tgtFrame="_blank" w:history="1">
        <w:r w:rsidRPr="00B71C6C">
          <w:rPr>
            <w:rFonts w:ascii="Arial" w:eastAsia="Times New Roman" w:hAnsi="Arial" w:cs="Arial"/>
            <w:color w:val="0066CC"/>
            <w:sz w:val="27"/>
            <w:szCs w:val="27"/>
            <w:u w:val="single"/>
            <w:lang w:eastAsia="it-IT"/>
          </w:rPr>
          <w:t>legge 24 giugno 2014, n. 90</w:t>
        </w:r>
      </w:hyperlink>
      <w:r w:rsidRPr="00B71C6C">
        <w:rPr>
          <w:rFonts w:ascii="Arial" w:eastAsia="Times New Roman" w:hAnsi="Arial" w:cs="Arial"/>
          <w:color w:val="990000"/>
          <w:sz w:val="27"/>
          <w:szCs w:val="27"/>
          <w:lang w:eastAsia="it-IT"/>
        </w:rPr>
        <w:t>, convertito, con modificazioni, dallalegge 11 agosto 2014, n. 114.</w:t>
      </w:r>
      <w:r w:rsidRPr="00B71C6C">
        <w:rPr>
          <w:rFonts w:ascii="Arial" w:eastAsia="Times New Roman" w:hAnsi="Arial" w:cs="Arial"/>
          <w:color w:val="990000"/>
          <w:sz w:val="27"/>
          <w:szCs w:val="27"/>
          <w:lang w:eastAsia="it-IT"/>
        </w:rPr>
        <w:br/>
        <w:t>3. Le amministrazioni pubbliche adottano modalità e strumenti di comunicazione che garantiscono la massima trasparenza delle informazioni concernenti le misurazioni e le valutazioni della performance.</w:t>
      </w:r>
      <w:r w:rsidRPr="00B71C6C">
        <w:rPr>
          <w:rFonts w:ascii="Arial" w:eastAsia="Times New Roman" w:hAnsi="Arial" w:cs="Arial"/>
          <w:color w:val="990000"/>
          <w:sz w:val="27"/>
          <w:szCs w:val="27"/>
          <w:lang w:eastAsia="it-IT"/>
        </w:rPr>
        <w:br/>
        <w:t>4. Le amministrazioni pubbliche adottano metodi e strumenti idonei a misurare, valutare e premiare la performance individuale e quella organizzativa, secondo criteri strettamente connessi al soddisfacimento dell'interesse del destinatario dei servizi e degli interventi.</w:t>
      </w:r>
      <w:r w:rsidRPr="00B71C6C">
        <w:rPr>
          <w:rFonts w:ascii="Arial" w:eastAsia="Times New Roman" w:hAnsi="Arial" w:cs="Arial"/>
          <w:color w:val="990000"/>
          <w:sz w:val="27"/>
          <w:szCs w:val="27"/>
          <w:lang w:eastAsia="it-IT"/>
        </w:rPr>
        <w:br/>
        <w:t xml:space="preserve">4-bis. Nel valutare la performance individuale ed organizzativa di cui al comma 4 si tiene conto del raggiungimento o meno degli obiettivi per l'effettiva inclusione </w:t>
      </w:r>
      <w:r w:rsidRPr="00B71C6C">
        <w:rPr>
          <w:rFonts w:ascii="Arial" w:eastAsia="Times New Roman" w:hAnsi="Arial" w:cs="Arial"/>
          <w:color w:val="990000"/>
          <w:sz w:val="27"/>
          <w:szCs w:val="27"/>
          <w:lang w:eastAsia="it-IT"/>
        </w:rPr>
        <w:lastRenderedPageBreak/>
        <w:t>sociale e la possibilità di accesso alle persone con disabilità di cui all'articolo 5, comma 2-bis, anche ai fini dell'applicazione dei commi 5 e 5-bis del presente articolo.</w:t>
      </w:r>
      <w:r w:rsidRPr="00B71C6C">
        <w:rPr>
          <w:rFonts w:ascii="Arial" w:eastAsia="Times New Roman" w:hAnsi="Arial" w:cs="Arial"/>
          <w:color w:val="990000"/>
          <w:sz w:val="27"/>
          <w:szCs w:val="27"/>
          <w:lang w:eastAsia="it-IT"/>
        </w:rPr>
        <w:br/>
        <w:t>5. Il rispetto delle disposizioni del presente Titolo è condizione necessaria per l'erogazione di premi e componenti del trattamento retributivo legati alla performance e rileva ai fini del riconoscimento delle progressioni economiche, dell'attribuzione di incarichi di responsabilità al personale, nonché del conferimento degli incarichi dirigenziali.</w:t>
      </w:r>
      <w:r w:rsidRPr="00B71C6C">
        <w:rPr>
          <w:rFonts w:ascii="Arial" w:eastAsia="Times New Roman" w:hAnsi="Arial" w:cs="Arial"/>
          <w:color w:val="990000"/>
          <w:sz w:val="27"/>
          <w:szCs w:val="27"/>
          <w:lang w:eastAsia="it-IT"/>
        </w:rPr>
        <w:br/>
        <w:t>5-bis. La valutazione negativa, come disciplinata nell'ambito del sistema di misurazione e valutazione della performance, rileva ai fini dell'accertamento della responsabilità dirigenziale e ai fini dell'irrogazione del licenziamento disciplinare ai sensi dell'articolo 55-quater, comma 1, lettera f-quinquies), deldecreto legislativo 30 marzo 2001, n. 165, ove resa a tali fini specifici nel rispetto delle disposizioni del presente decreto.</w:t>
      </w:r>
      <w:r w:rsidRPr="00B71C6C">
        <w:rPr>
          <w:rFonts w:ascii="Arial" w:eastAsia="Times New Roman" w:hAnsi="Arial" w:cs="Arial"/>
          <w:color w:val="990000"/>
          <w:sz w:val="27"/>
          <w:szCs w:val="27"/>
          <w:lang w:eastAsia="it-IT"/>
        </w:rPr>
        <w:br/>
        <w:t>6. Fermo quanto previsto dall' articolo 13, dall'applicazione delle disposizioni del presente Titolo non devono derivare nuovi o maggiori oneri per la finanza pubblica. Le amministrazioni interessate utilizzano a tale fine le risorse umane, finanziarie e strumentali disponibili a legislazione vigente.»</w:t>
      </w:r>
      <w:r w:rsidRPr="00B71C6C">
        <w:rPr>
          <w:rFonts w:ascii="Arial" w:eastAsia="Times New Roman" w:hAnsi="Arial" w:cs="Arial"/>
          <w:color w:val="990000"/>
          <w:sz w:val="27"/>
          <w:szCs w:val="27"/>
          <w:lang w:eastAsia="it-IT"/>
        </w:rPr>
        <w:br/>
        <w:t>«Art. 5 (Obiettivi e indicatori). - 01. Gli obiettivi si articolano in:</w:t>
      </w:r>
      <w:r w:rsidRPr="00B71C6C">
        <w:rPr>
          <w:rFonts w:ascii="Arial" w:eastAsia="Times New Roman" w:hAnsi="Arial" w:cs="Arial"/>
          <w:color w:val="990000"/>
          <w:sz w:val="27"/>
          <w:szCs w:val="27"/>
          <w:lang w:eastAsia="it-IT"/>
        </w:rPr>
        <w:br/>
        <w:t>a) obiettivi generali, che identificano, in coerenza con le priorità delle politiche pubbliche nazionali nel quadro del programma di Governo e con gli eventuali indirizzi adottati dal Presidente del Consiglio dei ministri ai sensi dell'articolo8deldecreto legislativo 30 luglio 1999, n. 286, le priorità strategiche delle pubbliche amministrazioni in relazione alle attività e ai servizi erogati, anche tenendo conto del comparto di contrattazione di appartenenza e in relazione anche al livello e alla qualità dei servizi da garantire ai cittadini;</w:t>
      </w:r>
      <w:r w:rsidRPr="00B71C6C">
        <w:rPr>
          <w:rFonts w:ascii="Arial" w:eastAsia="Times New Roman" w:hAnsi="Arial" w:cs="Arial"/>
          <w:color w:val="990000"/>
          <w:sz w:val="27"/>
          <w:szCs w:val="27"/>
          <w:lang w:eastAsia="it-IT"/>
        </w:rPr>
        <w:br/>
        <w:t>b) obiettivi specifici di ogni pubblica amministrazione, individuati, in coerenza con la direttiva annuale adottata ai sensi dell'articolo8deldecreto legislativo 30 luglio 1999, n. 286, nel Piano della performance di cui all'articolo 10.</w:t>
      </w:r>
      <w:r w:rsidRPr="00B71C6C">
        <w:rPr>
          <w:rFonts w:ascii="Arial" w:eastAsia="Times New Roman" w:hAnsi="Arial" w:cs="Arial"/>
          <w:color w:val="990000"/>
          <w:sz w:val="27"/>
          <w:szCs w:val="27"/>
          <w:lang w:eastAsia="it-IT"/>
        </w:rPr>
        <w:br/>
        <w:t>1. Gli obiettivi di cui al comma 01, lettera a), sono determinati con apposite linee guida adottate su base triennale con decreto del Presidente del Consiglio dei ministri. Per gli enti territoriali, il decreto di cui al primo periodo è adottato previa intesa in sede di Conferenza unificata di cui all'articolo8dellalegge 5 giugno 2003, n. 131. Gli obiettivi di cui al comma 01, lettera b), sono programmati, in coerenza con gli obiettivi generali, su base triennale e definiti, prima dell'inizio del rispettivo esercizio, dagli organi di indirizzo politico-amministrativo, sentiti i vertici dell'amministrazione che a loro volta consultano i dirigenti o i responsabili delle unità organizzative. Gli obiettivi sono definiti in coerenza con gli obiettivi di bilancio indicati nei documenti programmatici di cui allalegge 31 dicembre 2009, n. 196, e di cui alla normativa economica e finanziaria applicabile alle regioni e agli enti locali e il loro conseguimento costituisce condizione per l'erogazione degli incentivi previsti dalla contrattazione integrativa. Nelle more dell'adozione delle linee guida di determinazione degli obiettivi generali, ogni pubblica amministrazione programma e definisce i propri obiettivi, secondo i tempi stabiliti per l'adozione del Piano di cui all'articolo 10, salvo procedere successivamente al loro aggiornamento.</w:t>
      </w:r>
      <w:r w:rsidRPr="00B71C6C">
        <w:rPr>
          <w:rFonts w:ascii="Arial" w:eastAsia="Times New Roman" w:hAnsi="Arial" w:cs="Arial"/>
          <w:color w:val="990000"/>
          <w:sz w:val="27"/>
          <w:szCs w:val="27"/>
          <w:lang w:eastAsia="it-IT"/>
        </w:rPr>
        <w:br/>
      </w:r>
      <w:r w:rsidRPr="00B71C6C">
        <w:rPr>
          <w:rFonts w:ascii="Arial" w:eastAsia="Times New Roman" w:hAnsi="Arial" w:cs="Arial"/>
          <w:color w:val="990000"/>
          <w:sz w:val="27"/>
          <w:szCs w:val="27"/>
          <w:lang w:eastAsia="it-IT"/>
        </w:rPr>
        <w:lastRenderedPageBreak/>
        <w:t>1-bis. Nel caso di gestione associata di funzioni da parte degli enti locali, su base volontaria ovvero obbligatoria ai sensi dell'articolo14deldecreto-</w:t>
      </w:r>
      <w:hyperlink r:id="rId7" w:tgtFrame="_blank" w:history="1">
        <w:r w:rsidRPr="00B71C6C">
          <w:rPr>
            <w:rFonts w:ascii="Arial" w:eastAsia="Times New Roman" w:hAnsi="Arial" w:cs="Arial"/>
            <w:color w:val="0066CC"/>
            <w:sz w:val="27"/>
            <w:szCs w:val="27"/>
            <w:u w:val="single"/>
            <w:lang w:eastAsia="it-IT"/>
          </w:rPr>
          <w:t>legge 31 maggio 2010, n. 78</w:t>
        </w:r>
      </w:hyperlink>
      <w:r w:rsidRPr="00B71C6C">
        <w:rPr>
          <w:rFonts w:ascii="Arial" w:eastAsia="Times New Roman" w:hAnsi="Arial" w:cs="Arial"/>
          <w:color w:val="990000"/>
          <w:sz w:val="27"/>
          <w:szCs w:val="27"/>
          <w:lang w:eastAsia="it-IT"/>
        </w:rPr>
        <w:t>, convertito, con modificazioni, dallalegge 30 luglio 2010, n. 122, gli obiettivi specifici relativi all'espletamento di tali funzioni sono definiti unitariamente.</w:t>
      </w:r>
      <w:r w:rsidRPr="00B71C6C">
        <w:rPr>
          <w:rFonts w:ascii="Arial" w:eastAsia="Times New Roman" w:hAnsi="Arial" w:cs="Arial"/>
          <w:color w:val="990000"/>
          <w:sz w:val="27"/>
          <w:szCs w:val="27"/>
          <w:lang w:eastAsia="it-IT"/>
        </w:rPr>
        <w:br/>
        <w:t>1-ter. Nel caso di differimento del termine di adozione del bilancio di previsione degli enti territoriali, devono essere comunque definiti obiettivi specifici per consentire la continuità dell'azione amministrativa.</w:t>
      </w:r>
      <w:r w:rsidRPr="00B71C6C">
        <w:rPr>
          <w:rFonts w:ascii="Arial" w:eastAsia="Times New Roman" w:hAnsi="Arial" w:cs="Arial"/>
          <w:color w:val="990000"/>
          <w:sz w:val="27"/>
          <w:szCs w:val="27"/>
          <w:lang w:eastAsia="it-IT"/>
        </w:rPr>
        <w:br/>
        <w:t>2. Gli obiettivi sono:</w:t>
      </w:r>
      <w:r w:rsidRPr="00B71C6C">
        <w:rPr>
          <w:rFonts w:ascii="Arial" w:eastAsia="Times New Roman" w:hAnsi="Arial" w:cs="Arial"/>
          <w:color w:val="990000"/>
          <w:sz w:val="27"/>
          <w:szCs w:val="27"/>
          <w:lang w:eastAsia="it-IT"/>
        </w:rPr>
        <w:br/>
        <w:t>a) rilevanti e pertinenti rispetto ai bisogni della collettività, alla missione istituzionale, alle priorità politiche ed alle strategie dell'amministrazione;</w:t>
      </w:r>
      <w:r w:rsidRPr="00B71C6C">
        <w:rPr>
          <w:rFonts w:ascii="Arial" w:eastAsia="Times New Roman" w:hAnsi="Arial" w:cs="Arial"/>
          <w:color w:val="990000"/>
          <w:sz w:val="27"/>
          <w:szCs w:val="27"/>
          <w:lang w:eastAsia="it-IT"/>
        </w:rPr>
        <w:br/>
        <w:t>b) specifici e misurabili in termini concreti e chiari;</w:t>
      </w:r>
      <w:r w:rsidRPr="00B71C6C">
        <w:rPr>
          <w:rFonts w:ascii="Arial" w:eastAsia="Times New Roman" w:hAnsi="Arial" w:cs="Arial"/>
          <w:color w:val="990000"/>
          <w:sz w:val="27"/>
          <w:szCs w:val="27"/>
          <w:lang w:eastAsia="it-IT"/>
        </w:rPr>
        <w:br/>
        <w:t>c) tali da determinare un significativo miglioramento della qualità dei servizi erogati e degli interventi;</w:t>
      </w:r>
      <w:r w:rsidRPr="00B71C6C">
        <w:rPr>
          <w:rFonts w:ascii="Arial" w:eastAsia="Times New Roman" w:hAnsi="Arial" w:cs="Arial"/>
          <w:color w:val="990000"/>
          <w:sz w:val="27"/>
          <w:szCs w:val="27"/>
          <w:lang w:eastAsia="it-IT"/>
        </w:rPr>
        <w:br/>
        <w:t>d) riferibili ad un arco temporale determinato, di norma corrispondente ad un anno;</w:t>
      </w:r>
      <w:r w:rsidRPr="00B71C6C">
        <w:rPr>
          <w:rFonts w:ascii="Arial" w:eastAsia="Times New Roman" w:hAnsi="Arial" w:cs="Arial"/>
          <w:color w:val="990000"/>
          <w:sz w:val="27"/>
          <w:szCs w:val="27"/>
          <w:lang w:eastAsia="it-IT"/>
        </w:rPr>
        <w:br/>
        <w:t>e) commisurati ai valori di riferimento derivanti da standard definiti a livello nazionale e internazionale, nonché da comparazioni con amministrazioni omologhe;</w:t>
      </w:r>
      <w:r w:rsidRPr="00B71C6C">
        <w:rPr>
          <w:rFonts w:ascii="Arial" w:eastAsia="Times New Roman" w:hAnsi="Arial" w:cs="Arial"/>
          <w:color w:val="990000"/>
          <w:sz w:val="27"/>
          <w:szCs w:val="27"/>
          <w:lang w:eastAsia="it-IT"/>
        </w:rPr>
        <w:br/>
        <w:t>f) confrontabili con le tendenze della produttività dell'amministrazione con riferimento, ove possibile, almeno al triennio precedente;</w:t>
      </w:r>
      <w:r w:rsidRPr="00B71C6C">
        <w:rPr>
          <w:rFonts w:ascii="Arial" w:eastAsia="Times New Roman" w:hAnsi="Arial" w:cs="Arial"/>
          <w:color w:val="990000"/>
          <w:sz w:val="27"/>
          <w:szCs w:val="27"/>
          <w:lang w:eastAsia="it-IT"/>
        </w:rPr>
        <w:br/>
        <w:t>g) correlati alla quantità e alla qualità delle risorse disponibili.</w:t>
      </w:r>
      <w:r w:rsidRPr="00B71C6C">
        <w:rPr>
          <w:rFonts w:ascii="Arial" w:eastAsia="Times New Roman" w:hAnsi="Arial" w:cs="Arial"/>
          <w:color w:val="990000"/>
          <w:sz w:val="27"/>
          <w:szCs w:val="27"/>
          <w:lang w:eastAsia="it-IT"/>
        </w:rPr>
        <w:br/>
        <w:t>2-bis. Gli obiettivi, anche nell'ottica di una corretta allocazione delle risorse, assicurano l'effettiva inclusione sociale e le possibilità di accesso delle persone con disabilità.»</w:t>
      </w:r>
      <w:r w:rsidRPr="00B71C6C">
        <w:rPr>
          <w:rFonts w:ascii="Arial" w:eastAsia="Times New Roman" w:hAnsi="Arial" w:cs="Arial"/>
          <w:color w:val="990000"/>
          <w:sz w:val="27"/>
          <w:szCs w:val="27"/>
          <w:lang w:eastAsia="it-IT"/>
        </w:rPr>
        <w:br/>
        <w:t>«Art. 9 (Ambiti di misurazione e valutazione della performance individuale). - 1. La misurazione e la valutazione della performance individuale dei dirigenti e del personale responsabile di una unità organizzativa in posizione di autonomia e responsabilità, secondo le modalità indicate nel sistema di cui all'articolo 7, è collegata: (21)</w:t>
      </w:r>
      <w:r w:rsidRPr="00B71C6C">
        <w:rPr>
          <w:rFonts w:ascii="Arial" w:eastAsia="Times New Roman" w:hAnsi="Arial" w:cs="Arial"/>
          <w:color w:val="990000"/>
          <w:sz w:val="27"/>
          <w:szCs w:val="27"/>
          <w:lang w:eastAsia="it-IT"/>
        </w:rPr>
        <w:br/>
        <w:t>a) agli indicatori di performance relativi all'ambito organizzativo di diretta responsabilità, ai quali è attribuito un peso prevalente nella valutazione complessiva; (22)</w:t>
      </w:r>
      <w:r w:rsidRPr="00B71C6C">
        <w:rPr>
          <w:rFonts w:ascii="Arial" w:eastAsia="Times New Roman" w:hAnsi="Arial" w:cs="Arial"/>
          <w:color w:val="990000"/>
          <w:sz w:val="27"/>
          <w:szCs w:val="27"/>
          <w:lang w:eastAsia="it-IT"/>
        </w:rPr>
        <w:br/>
        <w:t>b) al raggiungimento di specifici obiettivi individuali;</w:t>
      </w:r>
      <w:r w:rsidRPr="00B71C6C">
        <w:rPr>
          <w:rFonts w:ascii="Arial" w:eastAsia="Times New Roman" w:hAnsi="Arial" w:cs="Arial"/>
          <w:color w:val="990000"/>
          <w:sz w:val="27"/>
          <w:szCs w:val="27"/>
          <w:lang w:eastAsia="it-IT"/>
        </w:rPr>
        <w:br/>
        <w:t>c) alla qualità del contributo assicurato alla performance generale della struttura, alle competenze professionali e manageriali dimostrate, nonché ai comportamenti organizzativi richiesti per il più efficace svolgimento delle funzioni assegnate; (23)</w:t>
      </w:r>
      <w:r w:rsidRPr="00B71C6C">
        <w:rPr>
          <w:rFonts w:ascii="Arial" w:eastAsia="Times New Roman" w:hAnsi="Arial" w:cs="Arial"/>
          <w:color w:val="990000"/>
          <w:sz w:val="27"/>
          <w:szCs w:val="27"/>
          <w:lang w:eastAsia="it-IT"/>
        </w:rPr>
        <w:br/>
        <w:t>d) alla capacità di valutazione dei propri collaboratori, dimostrata tramite una significativa differenziazione dei giudizi;</w:t>
      </w:r>
      <w:r w:rsidRPr="00B71C6C">
        <w:rPr>
          <w:rFonts w:ascii="Arial" w:eastAsia="Times New Roman" w:hAnsi="Arial" w:cs="Arial"/>
          <w:color w:val="990000"/>
          <w:sz w:val="27"/>
          <w:szCs w:val="27"/>
          <w:lang w:eastAsia="it-IT"/>
        </w:rPr>
        <w:br/>
        <w:t>d-bis) agli indicatori di performance relativi al raggiungimento degli obiettivi derivanti dalla programmazione strategica della piena accessibilità delle amministrazioni, da parte delle persone con disabilità.</w:t>
      </w:r>
      <w:r w:rsidRPr="00B71C6C">
        <w:rPr>
          <w:rFonts w:ascii="Arial" w:eastAsia="Times New Roman" w:hAnsi="Arial" w:cs="Arial"/>
          <w:color w:val="990000"/>
          <w:sz w:val="27"/>
          <w:szCs w:val="27"/>
          <w:lang w:eastAsia="it-IT"/>
        </w:rPr>
        <w:br/>
        <w:t xml:space="preserve">1-bis. La misurazione e valutazione della performance individuale dei dirigenti titolari degli incarichi di cui all'articolo19, commi 3 e 4, deldecreto legislativo 30 marzo 2001, n. 165, è collegata altresì al raggiungimento degli obiettivi </w:t>
      </w:r>
      <w:r w:rsidRPr="00B71C6C">
        <w:rPr>
          <w:rFonts w:ascii="Arial" w:eastAsia="Times New Roman" w:hAnsi="Arial" w:cs="Arial"/>
          <w:color w:val="990000"/>
          <w:sz w:val="27"/>
          <w:szCs w:val="27"/>
          <w:lang w:eastAsia="it-IT"/>
        </w:rPr>
        <w:lastRenderedPageBreak/>
        <w:t>individuati nella direttiva generale per l'azione amministrativa e la gestione e nel Piano della performance, nonché di quelli specifici definiti nel contratto individuale.</w:t>
      </w:r>
      <w:r w:rsidRPr="00B71C6C">
        <w:rPr>
          <w:rFonts w:ascii="Arial" w:eastAsia="Times New Roman" w:hAnsi="Arial" w:cs="Arial"/>
          <w:color w:val="990000"/>
          <w:sz w:val="27"/>
          <w:szCs w:val="27"/>
          <w:lang w:eastAsia="it-IT"/>
        </w:rPr>
        <w:br/>
        <w:t>2. La misurazione e la valutazione svolte dai dirigenti sulla performance individuale del personale sono effettuate sulla base del sistema di cui all'articolo 7 e collegate:</w:t>
      </w:r>
      <w:r w:rsidRPr="00B71C6C">
        <w:rPr>
          <w:rFonts w:ascii="Arial" w:eastAsia="Times New Roman" w:hAnsi="Arial" w:cs="Arial"/>
          <w:color w:val="990000"/>
          <w:sz w:val="27"/>
          <w:szCs w:val="27"/>
          <w:lang w:eastAsia="it-IT"/>
        </w:rPr>
        <w:br/>
        <w:t>a) al raggiungimento di specifici obiettivi di gruppo o individuali;</w:t>
      </w:r>
      <w:r w:rsidRPr="00B71C6C">
        <w:rPr>
          <w:rFonts w:ascii="Arial" w:eastAsia="Times New Roman" w:hAnsi="Arial" w:cs="Arial"/>
          <w:color w:val="990000"/>
          <w:sz w:val="27"/>
          <w:szCs w:val="27"/>
          <w:lang w:eastAsia="it-IT"/>
        </w:rPr>
        <w:br/>
        <w:t>b) alla qualità del contributo assicurato alla performance dell'unità organizzativa di appartenenza, alle competenze dimostrate ed ai comportamenti professionali e organizzativi.</w:t>
      </w:r>
      <w:r w:rsidRPr="00B71C6C">
        <w:rPr>
          <w:rFonts w:ascii="Arial" w:eastAsia="Times New Roman" w:hAnsi="Arial" w:cs="Arial"/>
          <w:color w:val="990000"/>
          <w:sz w:val="27"/>
          <w:szCs w:val="27"/>
          <w:lang w:eastAsia="it-IT"/>
        </w:rPr>
        <w:br/>
        <w:t>3.Nella valutazione di performance individuale non sono considerati i periodi di congedo di maternità, di paternità e parentale.»</w:t>
      </w:r>
      <w:bookmarkStart w:id="0" w:name="_GoBack"/>
      <w:bookmarkEnd w:id="0"/>
    </w:p>
    <w:p w:rsidR="00D71526" w:rsidRDefault="00D71526"/>
    <w:sectPr w:rsidR="00D715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83"/>
    <w:rsid w:val="00751683"/>
    <w:rsid w:val="00B71C6C"/>
    <w:rsid w:val="00D715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89922-BC91-48FC-AB8A-CDD1B814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B71C6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71C6C"/>
    <w:rPr>
      <w:rFonts w:ascii="Times New Roman" w:eastAsia="Times New Roman" w:hAnsi="Times New Roman" w:cs="Times New Roman"/>
      <w:b/>
      <w:bCs/>
      <w:sz w:val="36"/>
      <w:szCs w:val="36"/>
      <w:lang w:eastAsia="it-IT"/>
    </w:rPr>
  </w:style>
  <w:style w:type="character" w:customStyle="1" w:styleId="comma-num-akn">
    <w:name w:val="comma-num-akn"/>
    <w:basedOn w:val="Carpredefinitoparagrafo"/>
    <w:rsid w:val="00B71C6C"/>
  </w:style>
  <w:style w:type="character" w:styleId="Collegamentoipertestuale">
    <w:name w:val="Hyperlink"/>
    <w:basedOn w:val="Carpredefinitoparagrafo"/>
    <w:uiPriority w:val="99"/>
    <w:semiHidden/>
    <w:unhideWhenUsed/>
    <w:rsid w:val="00B71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84484">
      <w:bodyDiv w:val="1"/>
      <w:marLeft w:val="0"/>
      <w:marRight w:val="0"/>
      <w:marTop w:val="0"/>
      <w:marBottom w:val="0"/>
      <w:divBdr>
        <w:top w:val="none" w:sz="0" w:space="0" w:color="auto"/>
        <w:left w:val="none" w:sz="0" w:space="0" w:color="auto"/>
        <w:bottom w:val="none" w:sz="0" w:space="0" w:color="auto"/>
        <w:right w:val="none" w:sz="0" w:space="0" w:color="auto"/>
      </w:divBdr>
      <w:divsChild>
        <w:div w:id="629627508">
          <w:marLeft w:val="0"/>
          <w:marRight w:val="0"/>
          <w:marTop w:val="0"/>
          <w:marBottom w:val="0"/>
          <w:divBdr>
            <w:top w:val="none" w:sz="0" w:space="0" w:color="auto"/>
            <w:left w:val="none" w:sz="0" w:space="0" w:color="auto"/>
            <w:bottom w:val="none" w:sz="0" w:space="0" w:color="auto"/>
            <w:right w:val="none" w:sz="0" w:space="0" w:color="auto"/>
          </w:divBdr>
          <w:divsChild>
            <w:div w:id="125197646">
              <w:marLeft w:val="0"/>
              <w:marRight w:val="0"/>
              <w:marTop w:val="0"/>
              <w:marBottom w:val="0"/>
              <w:divBdr>
                <w:top w:val="none" w:sz="0" w:space="0" w:color="auto"/>
                <w:left w:val="none" w:sz="0" w:space="0" w:color="auto"/>
                <w:bottom w:val="none" w:sz="0" w:space="0" w:color="auto"/>
                <w:right w:val="none" w:sz="0" w:space="0" w:color="auto"/>
              </w:divBdr>
              <w:divsChild>
                <w:div w:id="1866794049">
                  <w:marLeft w:val="0"/>
                  <w:marRight w:val="0"/>
                  <w:marTop w:val="0"/>
                  <w:marBottom w:val="0"/>
                  <w:divBdr>
                    <w:top w:val="none" w:sz="0" w:space="0" w:color="auto"/>
                    <w:left w:val="none" w:sz="0" w:space="0" w:color="auto"/>
                    <w:bottom w:val="none" w:sz="0" w:space="0" w:color="auto"/>
                    <w:right w:val="none" w:sz="0" w:space="0" w:color="auto"/>
                  </w:divBdr>
                </w:div>
                <w:div w:id="668362359">
                  <w:marLeft w:val="0"/>
                  <w:marRight w:val="0"/>
                  <w:marTop w:val="0"/>
                  <w:marBottom w:val="0"/>
                  <w:divBdr>
                    <w:top w:val="none" w:sz="0" w:space="0" w:color="auto"/>
                    <w:left w:val="none" w:sz="0" w:space="0" w:color="auto"/>
                    <w:bottom w:val="none" w:sz="0" w:space="0" w:color="auto"/>
                    <w:right w:val="none" w:sz="0" w:space="0" w:color="auto"/>
                  </w:divBdr>
                </w:div>
                <w:div w:id="59062740">
                  <w:marLeft w:val="0"/>
                  <w:marRight w:val="0"/>
                  <w:marTop w:val="0"/>
                  <w:marBottom w:val="0"/>
                  <w:divBdr>
                    <w:top w:val="none" w:sz="0" w:space="0" w:color="auto"/>
                    <w:left w:val="none" w:sz="0" w:space="0" w:color="auto"/>
                    <w:bottom w:val="none" w:sz="0" w:space="0" w:color="auto"/>
                    <w:right w:val="none" w:sz="0" w:space="0" w:color="auto"/>
                  </w:divBdr>
                </w:div>
                <w:div w:id="4548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ormattiva.it/uri-res/N2Ls?urn:nir:stato:legge:2010-05-31;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rmattiva.it/uri-res/N2Ls?urn:nir:stato:legge:2014-06-24;90" TargetMode="External"/><Relationship Id="rId5" Type="http://schemas.openxmlformats.org/officeDocument/2006/relationships/hyperlink" Target="https://www.normattiva.it/uri-res/N2Ls?urn:nir:stato:decreto.legislativo:2009-10-27;150" TargetMode="External"/><Relationship Id="rId4" Type="http://schemas.openxmlformats.org/officeDocument/2006/relationships/hyperlink" Target="https://www.normattiva.it/uri-res/N2Ls?urn:nir:stato:decreto.legislativo:2009-10-27;150"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PACINI_CARMEN</dc:creator>
  <cp:keywords/>
  <dc:description/>
  <cp:lastModifiedBy>PACINI_CARMEN</cp:lastModifiedBy>
  <cp:revision>2</cp:revision>
  <dcterms:created xsi:type="dcterms:W3CDTF">2025-04-28T10:52:00Z</dcterms:created>
  <dcterms:modified xsi:type="dcterms:W3CDTF">2025-04-28T10:52:00Z</dcterms:modified>
</cp:coreProperties>
</file>