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D07F22" w:rsidRPr="00223A19" w:rsidP="00223A19">
      <w:pPr>
        <w:shd w:val="clear" w:color="auto" w:fill="FFFFFF"/>
        <w:spacing w:before="0" w:after="0" w:line="240" w:lineRule="auto"/>
        <w:ind w:firstLine="0"/>
        <w:rPr>
          <w:rFonts w:ascii="Arial" w:eastAsia="Times New Roman" w:hAnsi="Arial" w:cs="Arial"/>
          <w:color w:val="990000"/>
          <w:sz w:val="27"/>
          <w:szCs w:val="27"/>
          <w:lang w:eastAsia="it-IT"/>
        </w:rPr>
      </w:pPr>
      <w:r w:rsidRPr="00223A19">
        <w:rPr>
          <w:rFonts w:ascii="Arial" w:eastAsia="Times New Roman" w:hAnsi="Arial" w:cs="Arial"/>
          <w:color w:val="990000"/>
          <w:sz w:val="27"/>
          <w:szCs w:val="27"/>
          <w:lang w:eastAsia="it-IT"/>
        </w:rPr>
        <w:t>2. Il registro è pubblico ed è reso accessibile a tutti gli interessati in modalità telematica.»</w:t>
      </w:r>
      <w:r w:rsidRPr="00223A19">
        <w:rPr>
          <w:rFonts w:ascii="Arial" w:eastAsia="Times New Roman" w:hAnsi="Arial" w:cs="Arial"/>
          <w:color w:val="990000"/>
          <w:sz w:val="27"/>
          <w:szCs w:val="27"/>
          <w:lang w:eastAsia="it-IT"/>
        </w:rPr>
        <w:br/>
        <w:t>- Per il testo dell'</w:t>
      </w:r>
      <w:hyperlink r:id="rId4" w:tgtFrame="_blank" w:history="1">
        <w:r w:rsidRPr="00223A19">
          <w:rPr>
            <w:rFonts w:ascii="Arial" w:eastAsia="Times New Roman" w:hAnsi="Arial" w:cs="Arial"/>
            <w:color w:val="0066CC"/>
            <w:sz w:val="27"/>
            <w:szCs w:val="27"/>
            <w:u w:val="single"/>
            <w:lang w:eastAsia="it-IT"/>
          </w:rPr>
          <w:t>articolo 6 del decreto-legge 9 giugno 2021, n. 80</w:t>
        </w:r>
      </w:hyperlink>
      <w:r w:rsidRPr="00223A19">
        <w:rPr>
          <w:rFonts w:ascii="Arial" w:eastAsia="Times New Roman" w:hAnsi="Arial" w:cs="Arial"/>
          <w:color w:val="990000"/>
          <w:sz w:val="27"/>
          <w:szCs w:val="27"/>
          <w:lang w:eastAsia="it-IT"/>
        </w:rPr>
        <w:t> si veda nelle note all'art. 3.</w:t>
      </w:r>
      <w:r w:rsidRPr="00223A19">
        <w:rPr>
          <w:rFonts w:ascii="Arial" w:eastAsia="Times New Roman" w:hAnsi="Arial" w:cs="Arial"/>
          <w:color w:val="990000"/>
          <w:sz w:val="27"/>
          <w:szCs w:val="27"/>
          <w:lang w:eastAsia="it-IT"/>
        </w:rPr>
        <w:br/>
        <w:t>- Si riporta l'articolo 10 del citato </w:t>
      </w:r>
      <w:hyperlink r:id="rId5" w:tgtFrame="_blank" w:history="1">
        <w:r w:rsidRPr="00223A19">
          <w:rPr>
            <w:rFonts w:ascii="Arial" w:eastAsia="Times New Roman" w:hAnsi="Arial" w:cs="Arial"/>
            <w:color w:val="0066CC"/>
            <w:sz w:val="27"/>
            <w:szCs w:val="27"/>
            <w:u w:val="single"/>
            <w:lang w:eastAsia="it-IT"/>
          </w:rPr>
          <w:t>decreto legislativo 27 ottobre 2009, n. 150</w:t>
        </w:r>
      </w:hyperlink>
      <w:r w:rsidRPr="00223A19">
        <w:rPr>
          <w:rFonts w:ascii="Arial" w:eastAsia="Times New Roman" w:hAnsi="Arial" w:cs="Arial"/>
          <w:color w:val="990000"/>
          <w:sz w:val="27"/>
          <w:szCs w:val="27"/>
          <w:lang w:eastAsia="it-IT"/>
        </w:rPr>
        <w:t>:</w:t>
      </w:r>
      <w:r w:rsidRPr="00223A19">
        <w:rPr>
          <w:rFonts w:ascii="Arial" w:eastAsia="Times New Roman" w:hAnsi="Arial" w:cs="Arial"/>
          <w:color w:val="990000"/>
          <w:sz w:val="27"/>
          <w:szCs w:val="27"/>
          <w:lang w:eastAsia="it-IT"/>
        </w:rPr>
        <w:br/>
        <w:t>«Art. 10 (Piano della performance e Relazione sulla performance). - 1. Al fine di assicurare la qualità, comprensibilità ed attendibilità dei documenti di rappresentazione della performance, le amministrazioni pubbliche, redigono e pubblicano sul sito istituzionale ogni anno:</w:t>
      </w:r>
      <w:r w:rsidRPr="00223A19">
        <w:rPr>
          <w:rFonts w:ascii="Arial" w:eastAsia="Times New Roman" w:hAnsi="Arial" w:cs="Arial"/>
          <w:color w:val="990000"/>
          <w:sz w:val="27"/>
          <w:szCs w:val="27"/>
          <w:lang w:eastAsia="it-IT"/>
        </w:rPr>
        <w:br/>
        <w:t>a) entro il 31 gennaio, il Piano della performance, documento programmatico triennale, che è definito dall'organo di indirizzo politico-amministrativo in collaborazione con i vertici dell'amministrazione e secondo gli indirizzi impartiti dal Dipartimento della funzione pubblica ai sensi dell'articolo 3, comma 2, e che individua gli indirizzi e gli obiettivi strategici ed operativi di cui all'articolo 5, comma 01, lettera b), e definisce, con riferimento agli obiettivi finali ed intermedi ed alle risorse, gli indicatori per la misurazione e la valutazione della performance dell'amministrazione, nonché gli obiettivi assegnati al personale dirigenziale ed i relativi indicatori;</w:t>
      </w:r>
      <w:r w:rsidRPr="00223A19">
        <w:rPr>
          <w:rFonts w:ascii="Arial" w:eastAsia="Times New Roman" w:hAnsi="Arial" w:cs="Arial"/>
          <w:color w:val="990000"/>
          <w:sz w:val="27"/>
          <w:szCs w:val="27"/>
          <w:lang w:eastAsia="it-IT"/>
        </w:rPr>
        <w:br/>
        <w:t>b) entro il 30 giugno, la Relazione annuale sulla performance, che è approvata dall'organo di indirizzo politico-amministrativo e validata dall'Organismo di valutazione ai sensi dell'articolo 14 e che evidenzia, a consuntivo, con riferimento all'anno precedente, i risultati organizzativi e individuali raggiunti rispetto ai singoli obiettivi programmati ed alle risorse, con rilevazione degli eventuali scostamenti, e il bilancio di genere realizzato.</w:t>
      </w:r>
      <w:r w:rsidRPr="00223A19">
        <w:rPr>
          <w:rFonts w:ascii="Arial" w:eastAsia="Times New Roman" w:hAnsi="Arial" w:cs="Arial"/>
          <w:color w:val="990000"/>
          <w:sz w:val="27"/>
          <w:szCs w:val="27"/>
          <w:lang w:eastAsia="it-IT"/>
        </w:rPr>
        <w:br/>
        <w:t xml:space="preserve">1-bis. Per gli enti locali, ferme restando le previsioni di cui all'articolo 169, comma 3-bis, </w:t>
      </w:r>
      <w:r w:rsidRPr="00223A19">
        <w:rPr>
          <w:rFonts w:ascii="Arial" w:eastAsia="Times New Roman" w:hAnsi="Arial" w:cs="Arial"/>
          <w:color w:val="990000"/>
          <w:sz w:val="27"/>
          <w:szCs w:val="27"/>
          <w:lang w:eastAsia="it-IT"/>
        </w:rPr>
        <w:t>deldecreto</w:t>
      </w:r>
      <w:r w:rsidRPr="00223A19">
        <w:rPr>
          <w:rFonts w:ascii="Arial" w:eastAsia="Times New Roman" w:hAnsi="Arial" w:cs="Arial"/>
          <w:color w:val="990000"/>
          <w:sz w:val="27"/>
          <w:szCs w:val="27"/>
          <w:lang w:eastAsia="it-IT"/>
        </w:rPr>
        <w:t xml:space="preserve"> legislativo 18 agosto 2000, n. 267, la Relazione sulla performance di cui al comma 1, lettera b), può essere unificata al rendiconto della gestione di cui all'articolo 227 del citato decreto legislativo.</w:t>
      </w:r>
      <w:r w:rsidRPr="00223A19">
        <w:rPr>
          <w:rFonts w:ascii="Arial" w:eastAsia="Times New Roman" w:hAnsi="Arial" w:cs="Arial"/>
          <w:color w:val="990000"/>
          <w:sz w:val="27"/>
          <w:szCs w:val="27"/>
          <w:lang w:eastAsia="it-IT"/>
        </w:rPr>
        <w:br/>
        <w:t>1-ter. Il Piano della performance di cui al comma 1, lettera a), è predisposto a seguito della presentazione alle Camere del documento di economia e finanza, di cui all'articolo10dellalegge 31 dicembre 2009, n. 196. Il Piano delle performance è adottato non oltre il termine di cui al comma 1, lettera a), in coerenza con le note integrative al bilancio di previsione di cui all'articolo21dellalegge 31 dicembre 2009, n. 196, o con il piano degli indicatori e dei risultati attesi di bilancio, di cui all'articolo19deldecreto legislativo 31 maggio 2011, n. 91.</w:t>
      </w:r>
      <w:r w:rsidRPr="00223A19">
        <w:rPr>
          <w:rFonts w:ascii="Arial" w:eastAsia="Times New Roman" w:hAnsi="Arial" w:cs="Arial"/>
          <w:color w:val="990000"/>
          <w:sz w:val="27"/>
          <w:szCs w:val="27"/>
          <w:lang w:eastAsia="it-IT"/>
        </w:rPr>
        <w:br/>
        <w:t>2.</w:t>
      </w:r>
      <w:r w:rsidRPr="00223A19">
        <w:rPr>
          <w:rFonts w:ascii="Arial" w:eastAsia="Times New Roman" w:hAnsi="Arial" w:cs="Arial"/>
          <w:color w:val="990000"/>
          <w:sz w:val="27"/>
          <w:szCs w:val="27"/>
          <w:lang w:eastAsia="it-IT"/>
        </w:rPr>
        <w:br/>
        <w:t>3.</w:t>
      </w:r>
      <w:r w:rsidRPr="00223A19">
        <w:rPr>
          <w:rFonts w:ascii="Arial" w:eastAsia="Times New Roman" w:hAnsi="Arial" w:cs="Arial"/>
          <w:color w:val="990000"/>
          <w:sz w:val="27"/>
          <w:szCs w:val="27"/>
          <w:lang w:eastAsia="it-IT"/>
        </w:rPr>
        <w:br/>
        <w:t>4.</w:t>
      </w:r>
      <w:r w:rsidRPr="00223A19">
        <w:rPr>
          <w:rFonts w:ascii="Arial" w:eastAsia="Times New Roman" w:hAnsi="Arial" w:cs="Arial"/>
          <w:color w:val="990000"/>
          <w:sz w:val="27"/>
          <w:szCs w:val="27"/>
          <w:lang w:eastAsia="it-IT"/>
        </w:rPr>
        <w:br/>
        <w:t xml:space="preserve">5. In caso di mancata adozione del Piano della performance è fatto divieto di erogazione della retribuzione di risultato ai dirigenti che risultano avere concorso alla mancata adozione del Piano, per omissione o inerzia nell'adempimento dei propri compiti, e l'amministrazione non può procedere ad assunzioni di personale o al conferimento di incarichi di consulenza o di collaborazione comunque denominati. Nei casi in cui la mancata adozione del Piano o della Relazione sulla performance dipenda da omissione o inerzia dell'organo di </w:t>
      </w:r>
    </w:p>
    <w:sectPr>
      <w:pgSz w:w="11906" w:h="16838"/>
      <w:pgMar w:top="1417" w:right="1134" w:bottom="1134" w:left="1134" w:header="708" w:footer="708" w:gutter="0"/>
      <w:pgNumType w:start="2"/>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D4"/>
    <w:rsid w:val="00223A19"/>
    <w:rsid w:val="00554CD4"/>
    <w:rsid w:val="00D07F22"/>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4:docId w14:val="3582F942"/>
  <w15:chartTrackingRefBased/>
  <w15:docId w15:val="{1DC4DDBA-D247-433D-A7B3-2884C0443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Titolo2Carattere"/>
    <w:uiPriority w:val="9"/>
    <w:qFormat/>
    <w:rsid w:val="00223A19"/>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olo2Carattere">
    <w:name w:val="Titolo 2 Carattere"/>
    <w:basedOn w:val="DefaultParagraphFont"/>
    <w:link w:val="Heading2"/>
    <w:uiPriority w:val="9"/>
    <w:rsid w:val="00223A19"/>
    <w:rPr>
      <w:rFonts w:ascii="Times New Roman" w:eastAsia="Times New Roman" w:hAnsi="Times New Roman" w:cs="Times New Roman"/>
      <w:b/>
      <w:bCs/>
      <w:sz w:val="36"/>
      <w:szCs w:val="36"/>
      <w:lang w:eastAsia="it-IT"/>
    </w:rPr>
  </w:style>
  <w:style w:type="character" w:customStyle="1" w:styleId="comma-num-akn">
    <w:name w:val="comma-num-akn"/>
    <w:basedOn w:val="DefaultParagraphFont"/>
    <w:rsid w:val="00223A19"/>
  </w:style>
  <w:style w:type="character" w:customStyle="1" w:styleId="arttextincomma">
    <w:name w:val="art_text_in_comma"/>
    <w:basedOn w:val="DefaultParagraphFont"/>
    <w:rsid w:val="00223A19"/>
  </w:style>
  <w:style w:type="character" w:styleId="Hyperlink">
    <w:name w:val="Hyperlink"/>
    <w:basedOn w:val="DefaultParagraphFont"/>
    <w:uiPriority w:val="99"/>
    <w:semiHidden/>
    <w:unhideWhenUsed/>
    <w:rsid w:val="00223A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normattiva.it/uri-res/N2Ls?urn:nir:stato:decreto.legge:2021-06-09;80~art6" TargetMode="External" /><Relationship Id="rId5" Type="http://schemas.openxmlformats.org/officeDocument/2006/relationships/hyperlink" Target="https://www.normattiva.it/uri-res/N2Ls?urn:nir:stato:decreto.legislativo:2009-10-27;150" TargetMode="Externa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1172</Words>
  <Characters>6682</Characters>
  <Application>Microsoft Office Word</Application>
  <DocSecurity>0</DocSecurity>
  <Lines>55</Lines>
  <Paragraphs>15</Paragraphs>
  <ScaleCrop>false</ScaleCrop>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2</cp:revision>
  <dcterms:created xsi:type="dcterms:W3CDTF">2025-04-28T11:07:00Z</dcterms:created>
  <dcterms:modified xsi:type="dcterms:W3CDTF">2025-04-28T11:07:00Z</dcterms:modified>
</cp:coreProperties>
</file>