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0961CF" w:rsidRPr="000961CF" w:rsidP="000961CF">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0961CF">
        <w:rPr>
          <w:rFonts w:ascii="Arial" w:eastAsia="Times New Roman" w:hAnsi="Arial" w:cs="Arial"/>
          <w:b/>
          <w:bCs/>
          <w:color w:val="19191A"/>
          <w:sz w:val="36"/>
          <w:szCs w:val="36"/>
          <w:lang w:eastAsia="it-IT"/>
        </w:rPr>
        <w:t>Art. 8</w:t>
      </w:r>
    </w:p>
    <w:p w:rsidR="000961CF" w:rsidRPr="000961CF" w:rsidP="000961CF">
      <w:pPr>
        <w:shd w:val="clear" w:color="auto" w:fill="FFFFFF"/>
        <w:spacing w:after="0" w:line="240" w:lineRule="auto"/>
        <w:jc w:val="center"/>
        <w:rPr>
          <w:rFonts w:ascii="Arial" w:eastAsia="Times New Roman" w:hAnsi="Arial" w:cs="Arial"/>
          <w:color w:val="19191A"/>
          <w:sz w:val="27"/>
          <w:szCs w:val="27"/>
          <w:lang w:eastAsia="it-IT"/>
        </w:rPr>
      </w:pPr>
      <w:r w:rsidRPr="000961CF">
        <w:rPr>
          <w:rFonts w:ascii="Arial" w:eastAsia="Times New Roman" w:hAnsi="Arial" w:cs="Arial"/>
          <w:color w:val="19191A"/>
          <w:sz w:val="27"/>
          <w:szCs w:val="27"/>
          <w:lang w:eastAsia="it-IT"/>
        </w:rPr>
        <w:t>Misure di tutela di cui al decreto legislativo</w:t>
      </w:r>
      <w:r w:rsidRPr="000961CF">
        <w:rPr>
          <w:rFonts w:ascii="Arial" w:eastAsia="Times New Roman" w:hAnsi="Arial" w:cs="Arial"/>
          <w:color w:val="19191A"/>
          <w:sz w:val="27"/>
          <w:szCs w:val="27"/>
          <w:lang w:eastAsia="it-IT"/>
        </w:rPr>
        <w:br/>
        <w:t>20 dicembre 2009, n. 198</w:t>
      </w:r>
    </w:p>
    <w:p w:rsidR="000961CF" w:rsidRPr="000961CF" w:rsidP="000961CF">
      <w:pPr>
        <w:shd w:val="clear" w:color="auto" w:fill="FFFFFF"/>
        <w:spacing w:after="0" w:line="240" w:lineRule="auto"/>
        <w:rPr>
          <w:rFonts w:ascii="Arial" w:eastAsia="Times New Roman" w:hAnsi="Arial" w:cs="Arial"/>
          <w:color w:val="19191A"/>
          <w:sz w:val="27"/>
          <w:szCs w:val="27"/>
          <w:lang w:eastAsia="it-IT"/>
        </w:rPr>
      </w:pPr>
      <w:r w:rsidRPr="000961CF">
        <w:rPr>
          <w:rFonts w:ascii="Arial" w:eastAsia="Times New Roman" w:hAnsi="Arial" w:cs="Arial"/>
          <w:b/>
          <w:bCs/>
          <w:color w:val="19191A"/>
          <w:sz w:val="27"/>
          <w:szCs w:val="27"/>
          <w:lang w:eastAsia="it-IT"/>
        </w:rPr>
        <w:t>1. </w:t>
      </w:r>
      <w:r w:rsidRPr="000961CF">
        <w:rPr>
          <w:rFonts w:ascii="Arial" w:eastAsia="Times New Roman" w:hAnsi="Arial" w:cs="Arial"/>
          <w:color w:val="19191A"/>
          <w:sz w:val="27"/>
          <w:szCs w:val="27"/>
          <w:lang w:eastAsia="it-IT"/>
        </w:rPr>
        <w:t>All'</w:t>
      </w:r>
      <w:hyperlink r:id="rId4" w:tgtFrame="_blank" w:history="1">
        <w:r w:rsidRPr="000961CF">
          <w:rPr>
            <w:rFonts w:ascii="Arial" w:eastAsia="Times New Roman" w:hAnsi="Arial" w:cs="Arial"/>
            <w:color w:val="0066CC"/>
            <w:sz w:val="27"/>
            <w:szCs w:val="27"/>
            <w:u w:val="single"/>
            <w:lang w:eastAsia="it-IT"/>
          </w:rPr>
          <w:t>articolo 1, comma 1, del decreto legislativo 20 dicembre 2009, n. 198</w:t>
        </w:r>
      </w:hyperlink>
      <w:r w:rsidRPr="000961CF">
        <w:rPr>
          <w:rFonts w:ascii="Arial" w:eastAsia="Times New Roman" w:hAnsi="Arial" w:cs="Arial"/>
          <w:color w:val="19191A"/>
          <w:sz w:val="27"/>
          <w:szCs w:val="27"/>
          <w:lang w:eastAsia="it-IT"/>
        </w:rPr>
        <w:t>, sono aggiunte, in fine, le seguenti parole: «, nonché dalla mancata attuazione o violazione dei livelli di qualità dei servizi essenziali per l'inclusione sociale e l'accessibilità delle persone con disabilità contenuti nelle carte dei servizi oppure degli obblighi previsti dalla normativa vigente in materia».</w:t>
      </w:r>
      <w:r w:rsidRPr="000961CF">
        <w:rPr>
          <w:rFonts w:ascii="Arial" w:eastAsia="Times New Roman" w:hAnsi="Arial" w:cs="Arial"/>
          <w:color w:val="19191A"/>
          <w:sz w:val="27"/>
          <w:szCs w:val="27"/>
          <w:lang w:eastAsia="it-IT"/>
        </w:rPr>
        <w:br/>
      </w:r>
    </w:p>
    <w:p w:rsidR="00B626C2" w:rsidRPr="000961CF" w:rsidP="000961CF">
      <w:pPr>
        <w:shd w:val="clear" w:color="auto" w:fill="FFFFFF"/>
        <w:spacing w:after="0" w:line="240" w:lineRule="auto"/>
        <w:rPr>
          <w:rFonts w:ascii="Arial" w:eastAsia="Times New Roman" w:hAnsi="Arial" w:cs="Arial"/>
          <w:color w:val="990000"/>
          <w:sz w:val="27"/>
          <w:szCs w:val="27"/>
          <w:lang w:eastAsia="it-IT"/>
        </w:rPr>
      </w:pPr>
      <w:r w:rsidRPr="000961CF">
        <w:rPr>
          <w:rFonts w:ascii="Arial" w:eastAsia="Times New Roman" w:hAnsi="Arial" w:cs="Arial"/>
          <w:color w:val="990000"/>
          <w:sz w:val="27"/>
          <w:szCs w:val="27"/>
          <w:lang w:eastAsia="it-IT"/>
        </w:rPr>
        <w:t>Note all'art. 8:</w:t>
      </w:r>
      <w:r w:rsidRPr="000961CF">
        <w:rPr>
          <w:rFonts w:ascii="Arial" w:eastAsia="Times New Roman" w:hAnsi="Arial" w:cs="Arial"/>
          <w:color w:val="990000"/>
          <w:sz w:val="27"/>
          <w:szCs w:val="27"/>
          <w:lang w:eastAsia="it-IT"/>
        </w:rPr>
        <w:br/>
        <w:t>- Si riporta il testo dell'</w:t>
      </w:r>
      <w:hyperlink r:id="rId5" w:tgtFrame="_blank" w:history="1">
        <w:r w:rsidRPr="000961CF">
          <w:rPr>
            <w:rFonts w:ascii="Arial" w:eastAsia="Times New Roman" w:hAnsi="Arial" w:cs="Arial"/>
            <w:color w:val="0066CC"/>
            <w:sz w:val="27"/>
            <w:szCs w:val="27"/>
            <w:u w:val="single"/>
            <w:lang w:eastAsia="it-IT"/>
          </w:rPr>
          <w:t>articolo 1 del decreto legislativo 20 dicembre 2009, n. 198</w:t>
        </w:r>
      </w:hyperlink>
      <w:r w:rsidRPr="000961CF">
        <w:rPr>
          <w:rFonts w:ascii="Arial" w:eastAsia="Times New Roman" w:hAnsi="Arial" w:cs="Arial"/>
          <w:color w:val="990000"/>
          <w:sz w:val="27"/>
          <w:szCs w:val="27"/>
          <w:lang w:eastAsia="it-IT"/>
        </w:rPr>
        <w:t> (Attuazione dell'</w:t>
      </w:r>
      <w:hyperlink r:id="rId6" w:tgtFrame="_blank" w:history="1">
        <w:r w:rsidRPr="000961CF">
          <w:rPr>
            <w:rFonts w:ascii="Arial" w:eastAsia="Times New Roman" w:hAnsi="Arial" w:cs="Arial"/>
            <w:color w:val="0066CC"/>
            <w:sz w:val="27"/>
            <w:szCs w:val="27"/>
            <w:u w:val="single"/>
            <w:lang w:eastAsia="it-IT"/>
          </w:rPr>
          <w:t>articolo 4 della legge 4 marzo 2009, n. 15</w:t>
        </w:r>
      </w:hyperlink>
      <w:r w:rsidRPr="000961CF">
        <w:rPr>
          <w:rFonts w:ascii="Arial" w:eastAsia="Times New Roman" w:hAnsi="Arial" w:cs="Arial"/>
          <w:color w:val="990000"/>
          <w:sz w:val="27"/>
          <w:szCs w:val="27"/>
          <w:lang w:eastAsia="it-IT"/>
        </w:rPr>
        <w:t>, in materia di ricorso per l'efficienza delle amministrazioni e dei concessionari di servizi pubblici), come modificato dal presente decreto:</w:t>
      </w:r>
      <w:r w:rsidRPr="000961CF">
        <w:rPr>
          <w:rFonts w:ascii="Arial" w:eastAsia="Times New Roman" w:hAnsi="Arial" w:cs="Arial"/>
          <w:color w:val="990000"/>
          <w:sz w:val="27"/>
          <w:szCs w:val="27"/>
          <w:lang w:eastAsia="it-IT"/>
        </w:rPr>
        <w:br/>
        <w:t>«Art. 1 (Presupposti dell'azione e legittimazione ad agire). - 1. Al fine di ripristinare il corretto svolgimento della funzione o la corretta erogazione di un servizio, i titolari di interessi giuridicamente rilevanti ed omogenei per una pluralità di utenti e consumatori possono agire in giudizio, con le modalità stabilite nel presente decreto, nei confronti delle amministrazioni pubbliche e dei concessionari di servizi pubblici, se derivi una lesione diretta, concreta ed attuale dei propri interessi, dalla violazione di termini o dalla mancata emanazione di atti amministrativi generali obbligatori e non aventi contenuto normativo da emanarsi obbligatoriamente entro e non oltre un termine fissato da una legge o da un regolamento, dalla violazione degli obblighi contenuti nelle carte di servizi ovvero dalla violazione di standard qualitativi ed economici stabiliti, per i concessionari di servizi pubblici, dalle autorità preposte alla regolazione ed al controllo del settore e, per le pubbliche amministrazioni, definiti dalle stesse in conformità alle disposizioni in materia di performance contenute neldecreto legislativo 27 ottobre 2009, n. 150, coerentemente con le linee guida definite dalla Commissione per la valutazione, la trasparenza e l'integrità delle amministrazioni pubbliche di cui all'articolo 13 del medesimo decreto e secondo le scadenze temporali definite daldecreto legislativo 27 ottobre 2009, n. 150, nonché dalla mancata attuazione o violazione dei livelli di qualità dei servizi essenziali per l'inclusione sociale e l'accessibilità delle persone con disabilità contenuti nelle carte dei servizi oppure degli obblighi previsti dalla normativa vigente in materia.</w:t>
      </w:r>
      <w:r w:rsidRPr="000961CF">
        <w:rPr>
          <w:rFonts w:ascii="Arial" w:eastAsia="Times New Roman" w:hAnsi="Arial" w:cs="Arial"/>
          <w:color w:val="990000"/>
          <w:sz w:val="27"/>
          <w:szCs w:val="27"/>
          <w:lang w:eastAsia="it-IT"/>
        </w:rPr>
        <w:br/>
        <w:t>1-bis. Nel giudizio di sussistenza della lesione di cui al comma 1 il giudice tiene conto delle risorse strumentali, finanziarie e umane concretamente a disposizione delle parti intimate.</w:t>
      </w:r>
      <w:r w:rsidRPr="000961CF">
        <w:rPr>
          <w:rFonts w:ascii="Arial" w:eastAsia="Times New Roman" w:hAnsi="Arial" w:cs="Arial"/>
          <w:color w:val="990000"/>
          <w:sz w:val="27"/>
          <w:szCs w:val="27"/>
          <w:lang w:eastAsia="it-IT"/>
        </w:rPr>
        <w:br/>
        <w:t>1-ter. Sono escluse dall'applicazione del presente decreto le autorità amministrative indipendenti, gli organi giurisdizionali, le assemblee legislative e gli altri organi costituzionali nonché la Presidenza del Consiglio dei Ministri.</w:t>
      </w:r>
      <w:r w:rsidRPr="000961CF">
        <w:rPr>
          <w:rFonts w:ascii="Arial" w:eastAsia="Times New Roman" w:hAnsi="Arial" w:cs="Arial"/>
          <w:color w:val="990000"/>
          <w:sz w:val="27"/>
          <w:szCs w:val="27"/>
          <w:lang w:eastAsia="it-IT"/>
        </w:rPr>
        <w:br/>
        <w:t>2. Del ricorso è data immediatamente notizia sul sito istituzionale dell'amministrazione o del concessionario intimati; il ricorso è altresì comunicato al Ministro per la pubblica amministrazione e l'innovazione.</w:t>
      </w:r>
    </w:p>
    <w:sectPr>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31"/>
    <w:rsid w:val="00076031"/>
    <w:rsid w:val="000961CF"/>
    <w:rsid w:val="00B626C2"/>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2B8764CF"/>
  <w15:chartTrackingRefBased/>
  <w15:docId w15:val="{81277450-1DE2-4E0C-AB74-FB85A6AA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0961C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0961C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0961CF"/>
  </w:style>
  <w:style w:type="character" w:customStyle="1" w:styleId="arttextincomma">
    <w:name w:val="art_text_in_comma"/>
    <w:basedOn w:val="DefaultParagraphFont"/>
    <w:rsid w:val="000961CF"/>
  </w:style>
  <w:style w:type="character" w:styleId="Hyperlink">
    <w:name w:val="Hyperlink"/>
    <w:basedOn w:val="DefaultParagraphFont"/>
    <w:uiPriority w:val="99"/>
    <w:semiHidden/>
    <w:unhideWhenUsed/>
    <w:rsid w:val="0009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islativo:2009-12-20;198~art1-com1" TargetMode="External" /><Relationship Id="rId5" Type="http://schemas.openxmlformats.org/officeDocument/2006/relationships/hyperlink" Target="https://www.normattiva.it/uri-res/N2Ls?urn:nir:stato:decreto.legislativo:2009-12-20;198~art1" TargetMode="External" /><Relationship Id="rId6" Type="http://schemas.openxmlformats.org/officeDocument/2006/relationships/hyperlink" Target="https://www.normattiva.it/uri-res/N2Ls?urn:nir:stato:legge:2009-03-04;15~art4"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2025-04-28T11:37:00Z</dcterms:created>
  <dcterms:modified xsi:type="dcterms:W3CDTF">2025-04-28T11:38:00Z</dcterms:modified>
</cp:coreProperties>
</file>