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B626C2" w:rsidRPr="000961CF" w:rsidP="000961CF">
      <w:pPr>
        <w:shd w:val="clear" w:color="auto" w:fill="FFFFFF"/>
        <w:spacing w:before="0" w:after="0" w:line="240" w:lineRule="auto"/>
        <w:ind w:firstLine="0"/>
        <w:rPr>
          <w:rFonts w:ascii="Arial" w:eastAsia="Times New Roman" w:hAnsi="Arial" w:cs="Arial"/>
          <w:color w:val="990000"/>
          <w:sz w:val="27"/>
          <w:szCs w:val="27"/>
          <w:lang w:eastAsia="it-IT"/>
        </w:rPr>
      </w:pPr>
      <w:r w:rsidRPr="000961CF">
        <w:rPr>
          <w:rFonts w:ascii="Arial" w:eastAsia="Times New Roman" w:hAnsi="Arial" w:cs="Arial"/>
          <w:color w:val="990000"/>
          <w:sz w:val="27"/>
          <w:szCs w:val="27"/>
          <w:lang w:eastAsia="it-IT"/>
        </w:rPr>
        <w:t>3. I soggetti che si trovano nella medesima situazione giuridica del ricorrente possono intervenire nel termine di venti giorni liberi prima dell'udienza di discussione del ricorso che viene fissata d'ufficio, in una data compresa tra il novantesimo ed il centoventesimo giorno dal deposito del ricorso.</w:t>
      </w:r>
      <w:r w:rsidRPr="000961CF">
        <w:rPr>
          <w:rFonts w:ascii="Arial" w:eastAsia="Times New Roman" w:hAnsi="Arial" w:cs="Arial"/>
          <w:color w:val="990000"/>
          <w:sz w:val="27"/>
          <w:szCs w:val="27"/>
          <w:lang w:eastAsia="it-IT"/>
        </w:rPr>
        <w:br/>
        <w:t>4. Ricorrendo i presupposti di cui al comma 1, il ricorso può essere proposto anche da associazioni o comitati a tutela degli interessi dei propri associati, appartenenti alla pluralità di utenti e consumatori di cui al comma 1.</w:t>
      </w:r>
      <w:r w:rsidRPr="000961CF">
        <w:rPr>
          <w:rFonts w:ascii="Arial" w:eastAsia="Times New Roman" w:hAnsi="Arial" w:cs="Arial"/>
          <w:color w:val="990000"/>
          <w:sz w:val="27"/>
          <w:szCs w:val="27"/>
          <w:lang w:eastAsia="it-IT"/>
        </w:rPr>
        <w:br/>
        <w:t>5. Il ricorso è proposto nei confronti degli enti i cui organi sono competenti a esercitare le funzioni o a gestire i servizi cui sono riferite le violazioni e le omissioni di cui al comma 1. Gli enti intimati informano immediatamente della proposizione del ricorso il dirigente responsabile di ciascun ufficio coinvolto, il quale può intervenire nel giudizio. Il giudice, nella prima udienza, se ritiene che le violazioni o le omissioni siano ascrivibili ad enti ulteriori o diversi da quelli intimati, ordina l'integrazione del contraddittorio.</w:t>
      </w:r>
      <w:r w:rsidRPr="000961CF">
        <w:rPr>
          <w:rFonts w:ascii="Arial" w:eastAsia="Times New Roman" w:hAnsi="Arial" w:cs="Arial"/>
          <w:color w:val="990000"/>
          <w:sz w:val="27"/>
          <w:szCs w:val="27"/>
          <w:lang w:eastAsia="it-IT"/>
        </w:rPr>
        <w:br/>
        <w:t>6. Il ricorso non consente di ottenere il risarcimento del danno cagionato dagli atti e dai comportamenti di cui al comma 1; a tal fine, restano fermi i rimedi ordinari.</w:t>
      </w:r>
      <w:r w:rsidRPr="000961CF">
        <w:rPr>
          <w:rFonts w:ascii="Arial" w:eastAsia="Times New Roman" w:hAnsi="Arial" w:cs="Arial"/>
          <w:color w:val="990000"/>
          <w:sz w:val="27"/>
          <w:szCs w:val="27"/>
          <w:lang w:eastAsia="it-IT"/>
        </w:rPr>
        <w:br/>
        <w:t>7. Il ricorso è devoluto alla giurisdizione esclusiva del giudice amministrativo e le questioni di competenza sono rilevabili anche d'ufficio.».</w:t>
      </w:r>
      <w:bookmarkStart w:id="0" w:name="_GoBack"/>
      <w:bookmarkEnd w:id="0"/>
    </w:p>
    <w:sectPr>
      <w:pgSz w:w="11906" w:h="16838"/>
      <w:pgMar w:top="1417" w:right="1134" w:bottom="1134" w:left="1134" w:header="708" w:footer="708" w:gutter="0"/>
      <w:pgNumType w:start="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31"/>
    <w:rsid w:val="00076031"/>
    <w:rsid w:val="000961CF"/>
    <w:rsid w:val="00B626C2"/>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2B8764CF"/>
  <w15:chartTrackingRefBased/>
  <w15:docId w15:val="{81277450-1DE2-4E0C-AB74-FB85A6AA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0961C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0961CF"/>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0961CF"/>
  </w:style>
  <w:style w:type="character" w:customStyle="1" w:styleId="arttextincomma">
    <w:name w:val="art_text_in_comma"/>
    <w:basedOn w:val="DefaultParagraphFont"/>
    <w:rsid w:val="000961CF"/>
  </w:style>
  <w:style w:type="character" w:styleId="Hyperlink">
    <w:name w:val="Hyperlink"/>
    <w:basedOn w:val="DefaultParagraphFont"/>
    <w:uiPriority w:val="99"/>
    <w:semiHidden/>
    <w:unhideWhenUsed/>
    <w:rsid w:val="0009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2025-04-28T11:37:00Z</dcterms:created>
  <dcterms:modified xsi:type="dcterms:W3CDTF">2025-04-28T11:38:00Z</dcterms:modified>
</cp:coreProperties>
</file>