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C4661A"/>
          <w:spacing w:val="60"/>
          <w:sz w:val="22"/>
          <w:szCs w:val="22"/>
        </w:rPr>
        <w:t xml:space="preserve">RIGHI SOLUTIONS</w:t>
      </w:r>
    </w:p>
    <w:p>
      <w:pPr>
        <w:spacing w:after="0" w:before="200"/>
      </w:pPr>
      <w:r>
        <w:rPr>
          <w:b/>
          <w:bCs/>
          <w:color w:val="1E2748"/>
          <w:sz w:val="60"/>
          <w:szCs w:val="60"/>
        </w:rPr>
        <w:t xml:space="preserve">Portale Fornitori</w:t>
      </w:r>
    </w:p>
    <w:p>
      <w:pPr>
        <w:pBdr>
          <w:bottom w:val="single" w:color="C4661A" w:sz="12" w:space="12"/>
        </w:pBdr>
        <w:spacing w:after="400" w:before="80"/>
      </w:pPr>
      <w:r>
        <w:rPr>
          <w:color w:val="525A72"/>
          <w:sz w:val="32"/>
          <w:szCs w:val="32"/>
        </w:rPr>
        <w:t xml:space="preserve">Specifiche funzionali, organizzative e tecniche</w:t>
      </w:r>
    </w:p>
    <w:p>
      <w:pPr>
        <w:spacing w:after="100" w:before="300"/>
      </w:pPr>
      <w:r>
        <w:rPr>
          <w:color w:val="18203A"/>
          <w:sz w:val="22"/>
          <w:szCs w:val="22"/>
        </w:rPr>
        <w:t xml:space="preserve">Subappalto di manodopera per il cablaggio e la costruzione di quadri elettrici</w:t>
      </w:r>
    </w:p>
    <w:p>
      <w:pPr>
        <w:spacing w:after="60"/>
      </w:pPr>
      <w:r>
        <w:rPr>
          <w:i/>
          <w:iCs/>
          <w:color w:val="7A8199"/>
          <w:sz w:val="20"/>
          <w:szCs w:val="20"/>
        </w:rPr>
        <w:t xml:space="preserve">Documento redatto sul codice sorgente dell'applicazione</w:t>
      </w:r>
    </w:p>
    <w:p>
      <w:pPr>
        <w:spacing w:before="1400"/>
      </w:pPr>
      <w:r>
        <w:rPr>
          <w:color w:val="525A72"/>
          <w:sz w:val="20"/>
          <w:szCs w:val="20"/>
        </w:rPr>
        <w:t xml:space="preserve">03 agosto 2026</w:t>
      </w:r>
    </w:p>
    <w:p>
      <w:r>
        <w:br w:type="page"/>
      </w:r>
    </w:p>
    <w:p>
      <w:pPr>
        <w:pStyle w:val="Heading1"/>
        <w:spacing w:after="200"/>
      </w:pPr>
      <w: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4661A" w:sz="12" w:space="10"/>
        </w:pBdr>
        <w:spacing w:after="200" w:line="288"/>
        <w:ind w:left="260"/>
      </w:pPr>
      <w:r>
        <w:rPr>
          <w:i/>
          <w:iCs/>
          <w:color w:val="525A72"/>
        </w:rPr>
        <w:t xml:space="preserve">Documento unico di riferimento. Descrive </w:t>
      </w:r>
      <w:r>
        <w:rPr>
          <w:b/>
          <w:bCs/>
          <w:i/>
          <w:iCs/>
          <w:color w:val="525A72"/>
        </w:rPr>
        <w:t xml:space="preserve">cosa fa</w:t>
      </w:r>
      <w:r>
        <w:rPr>
          <w:i/>
          <w:iCs/>
          <w:color w:val="525A72"/>
        </w:rPr>
        <w:t xml:space="preserve"> il portale (funzionale), </w:t>
      </w:r>
      <w:r>
        <w:rPr>
          <w:b/>
          <w:bCs/>
          <w:i/>
          <w:iCs/>
          <w:color w:val="525A72"/>
        </w:rPr>
        <w:t xml:space="preserve">chi decide cosa</w:t>
      </w:r>
      <w:r>
        <w:rPr>
          <w:i/>
          <w:iCs/>
          <w:color w:val="525A72"/>
        </w:rPr>
        <w:t xml:space="preserve"> (organizzativo) e </w:t>
      </w:r>
      <w:r>
        <w:rPr>
          <w:b/>
          <w:bCs/>
          <w:i/>
          <w:iCs/>
          <w:color w:val="525A72"/>
        </w:rPr>
        <w:t xml:space="preserve">come è costruito</w:t>
      </w:r>
      <w:r>
        <w:rPr>
          <w:i/>
          <w:iCs/>
          <w:color w:val="525A72"/>
        </w:rPr>
        <w:t xml:space="preserve"> (tecnico). Redatto rileggendo il codice sorgente, non da memoria: ogni regola numerica citata qui corrisponde a una costante o a una funzione dell'applicazione.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3167"/>
        <w:gridCol w:w="6147"/>
      </w:tblGrid>
      <w:tr>
        <w:trPr>
          <w:tblHeader/>
        </w:trPr>
        <w:tc>
          <w:tcPr>
            <w:tcW w:type="dxa" w:w="316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/>
            </w:r>
          </w:p>
        </w:tc>
        <w:tc>
          <w:tcPr>
            <w:tcW w:type="dxa" w:w="614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/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Prodotto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Portale Fornitori · Righi Solutions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Ambito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Subappalto di manodopera per cablaggio e costruzione di quadri elettrici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Stato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Prototipo funzionante (offline-first), pronto per la validazione con utenti reali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Documenti collegati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rFonts w:ascii="Consolas" w:cs="Consolas" w:eastAsia="Consolas" w:hAnsi="Consolas"/>
                <w:color w:val="C4661A"/>
                <w:sz w:val="19"/>
                <w:szCs w:val="19"/>
              </w:rPr>
              <w:t xml:space="preserve">LEGGIMI.md</w:t>
            </w:r>
            <w:r>
              <w:rPr>
                <w:color w:val="18203A"/>
              </w:rPr>
              <w:t xml:space="preserve"> uso · </w:t>
            </w:r>
            <w:r>
              <w:rPr>
                <w:rFonts w:ascii="Consolas" w:cs="Consolas" w:eastAsia="Consolas" w:hAnsi="Consolas"/>
                <w:color w:val="C4661A"/>
                <w:sz w:val="19"/>
                <w:szCs w:val="19"/>
              </w:rPr>
              <w:t xml:space="preserve">PIANO_PRODOTTO.md</w:t>
            </w:r>
            <w:r>
              <w:rPr>
                <w:color w:val="18203A"/>
              </w:rPr>
              <w:t xml:space="preserve"> visione · </w:t>
            </w:r>
            <w:r>
              <w:rPr>
                <w:rFonts w:ascii="Consolas" w:cs="Consolas" w:eastAsia="Consolas" w:hAnsi="Consolas"/>
                <w:color w:val="C4661A"/>
                <w:sz w:val="19"/>
                <w:szCs w:val="19"/>
              </w:rPr>
              <w:t xml:space="preserve">BACKEND.md</w:t>
            </w:r>
            <w:r>
              <w:rPr>
                <w:color w:val="18203A"/>
              </w:rPr>
              <w:t xml:space="preserve"> contratto server</w:t>
            </w:r>
          </w:p>
        </w:tc>
      </w:tr>
    </w:tbl>
    <w:p>
      <w:pPr>
        <w:spacing w:after="200"/>
      </w:pPr>
    </w:p>
    <w:p>
      <w:pPr>
        <w:pStyle w:val="Heading1"/>
        <w:pageBreakBefore/>
        <w:pBdr>
          <w:bottom w:val="single" w:color="C4661A" w:sz="6" w:space="6"/>
        </w:pBdr>
        <w:spacing w:after="120" w:before="320"/>
      </w:pPr>
      <w:r>
        <w:t xml:space="preserve">1. Scopo e posizionamento</w:t>
      </w:r>
    </w:p>
    <w:p>
      <w:pPr>
        <w:spacing w:after="140" w:line="288"/>
      </w:pPr>
      <w:r>
        <w:t xml:space="preserve">Righi affida a fornitori esterni il </w:t>
      </w:r>
      <w:r>
        <w:rPr>
          <w:b/>
          <w:bCs/>
        </w:rPr>
        <w:t xml:space="preserve">cablaggio e la costruzione di quadri elettrici</w:t>
      </w:r>
      <w:r>
        <w:t xml:space="preserve">. Ogni affidamento è una piccola commessa a sé, che si esaurisce in </w:t>
      </w:r>
      <w:r>
        <w:rPr>
          <w:b/>
          <w:bCs/>
        </w:rPr>
        <w:t xml:space="preserve">3–5 settimane</w:t>
      </w:r>
      <w:r>
        <w:t xml:space="preserve">: non c'è un catalogo da ordinare, c'è un </w:t>
      </w:r>
      <w:r>
        <w:rPr>
          <w:b/>
          <w:bCs/>
        </w:rPr>
        <w:t xml:space="preserve">layout da quotare</w:t>
      </w:r>
      <w:r>
        <w:t xml:space="preserve">, una </w:t>
      </w:r>
      <w:r>
        <w:rPr>
          <w:b/>
          <w:bCs/>
        </w:rPr>
        <w:t xml:space="preserve">data di riconsegna</w:t>
      </w:r>
      <w:r>
        <w:t xml:space="preserve"> e un </w:t>
      </w:r>
      <w:r>
        <w:rPr>
          <w:b/>
          <w:bCs/>
        </w:rPr>
        <w:t xml:space="preserve">caposquadra</w:t>
      </w:r>
      <w:r>
        <w:t xml:space="preserve"> che segue il lavoro.</w:t>
      </w:r>
    </w:p>
    <w:p>
      <w:pPr>
        <w:spacing w:after="140" w:line="288"/>
      </w:pPr>
      <w:r>
        <w:t xml:space="preserve">Questo non è un portale di qualifica fornitori né di approvvigionamento materiali. È un portale di </w:t>
      </w:r>
      <w:r>
        <w:rPr>
          <w:b/>
          <w:bCs/>
        </w:rPr>
        <w:t xml:space="preserve">delega di lavori a progetto</w:t>
      </w:r>
      <w:r>
        <w:t xml:space="preserve">, costruito su due principi che governano ogni scelta di design: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Ridurre il testo scritto</w:t>
      </w:r>
      <w:r>
        <w:t xml:space="preserve"> — input guidati (pulsanti, elenchi, modelli di risposta) al posto dei campi liberi, su entrambi i lati.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Accelerare l'assegnazione</w:t>
      </w:r>
      <w:r>
        <w:t xml:space="preserve"> — dalla proposta all'affidamento in pochi tocchi, con la comunicazione tecnica incanalata in una prassi prevedibile.</w:t>
      </w:r>
    </w:p>
    <w:p>
      <w:pPr>
        <w:spacing w:after="120"/>
      </w:pPr>
    </w:p>
    <w:p>
      <w:pPr>
        <w:spacing w:after="140" w:line="288"/>
      </w:pPr>
      <w:r>
        <w:t xml:space="preserve">Ne discende un terzo principio, emerso lavorando: </w:t>
      </w:r>
      <w:r>
        <w:rPr>
          <w:b/>
          <w:bCs/>
        </w:rPr>
        <w:t xml:space="preserve">nessun passaggio silenzioso</w:t>
      </w:r>
      <w:r>
        <w:t xml:space="preserve">. Ogni decisione che riguarda l'altra parte produce una notifica </w:t>
      </w:r>
      <w:r>
        <w:rPr>
          <w:i/>
          <w:iCs/>
        </w:rPr>
        <w:t xml:space="preserve">e</w:t>
      </w:r>
      <w:r>
        <w:t xml:space="preserve"> un avviso via email; ogni rifiuto è motivato; ogni stato ha qualcuno che lo fa scattare.</w:t>
      </w:r>
    </w:p>
    <w:p>
      <w:pPr>
        <w:pStyle w:val="Heading1"/>
        <w:pageBreakBefore/>
        <w:pBdr>
          <w:bottom w:val="single" w:color="C4661A" w:sz="6" w:space="6"/>
        </w:pBdr>
        <w:spacing w:after="120" w:before="320"/>
      </w:pPr>
      <w:r>
        <w:t xml:space="preserve">2. Attori e organizzazione</w:t>
      </w:r>
    </w:p>
    <w:p>
      <w:pPr>
        <w:pStyle w:val="Heading2"/>
        <w:spacing w:after="120" w:before="240"/>
      </w:pPr>
      <w:r>
        <w:t xml:space="preserve">2.1 I tre ruoli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2608"/>
        <w:gridCol w:w="3353"/>
        <w:gridCol w:w="3353"/>
      </w:tblGrid>
      <w:tr>
        <w:trPr>
          <w:tblHeader/>
        </w:trPr>
        <w:tc>
          <w:tcPr>
            <w:tcW w:type="dxa" w:w="2608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Ruolo</w:t>
            </w:r>
          </w:p>
        </w:tc>
        <w:tc>
          <w:tcPr>
            <w:tcW w:type="dxa" w:w="3353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Chi è</w:t>
            </w:r>
          </w:p>
        </w:tc>
        <w:tc>
          <w:tcPr>
            <w:tcW w:type="dxa" w:w="3353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Responsabilità nel portale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Responsabile di produzione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Ufficio subappalti Righi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Vede </w:t>
            </w:r>
            <w:r>
              <w:rPr>
                <w:b/>
                <w:bCs/>
                <w:color w:val="18203A"/>
              </w:rPr>
              <w:t xml:space="preserve">tutte</w:t>
            </w:r>
            <w:r>
              <w:rPr>
                <w:color w:val="18203A"/>
              </w:rPr>
              <w:t xml:space="preserve"> le commesse. Pubblica, assegna, importa/esporta, governa il carico dei fornitori, </w:t>
            </w:r>
            <w:r>
              <w:rPr>
                <w:b/>
                <w:bCs/>
                <w:color w:val="18203A"/>
              </w:rPr>
              <w:t xml:space="preserve">approva</w:t>
            </w:r>
            <w:r>
              <w:rPr>
                <w:color w:val="18203A"/>
              </w:rPr>
              <w:t xml:space="preserve"> le proposte dei capisquadra e gli </w:t>
            </w:r>
            <w:r>
              <w:rPr>
                <w:b/>
                <w:bCs/>
                <w:color w:val="18203A"/>
              </w:rPr>
              <w:t xml:space="preserve">extra oltre soglia</w:t>
            </w:r>
            <w:r>
              <w:rPr>
                <w:color w:val="18203A"/>
              </w:rPr>
              <w:t xml:space="preserve">. Unico che modifica l'anagrafica fornitori.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Caposquadra (OTL)</w:t>
            </w:r>
          </w:p>
        </w:tc>
        <w:tc>
          <w:tcPr>
            <w:tcW w:type="dxa" w:w="3353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Referente tecnico della commessa</w:t>
            </w:r>
          </w:p>
        </w:tc>
        <w:tc>
          <w:tcPr>
            <w:tcW w:type="dxa" w:w="3353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Vede </w:t>
            </w:r>
            <w:r>
              <w:rPr>
                <w:b/>
                <w:bCs/>
                <w:color w:val="18203A"/>
              </w:rPr>
              <w:t xml:space="preserve">solo le commesse che segue</w:t>
            </w:r>
            <w:r>
              <w:rPr>
                <w:color w:val="18203A"/>
              </w:rPr>
              <w:t xml:space="preserve">. Propone nuovi lavori (che il responsabile approva), gestisce le richieste dei suoi fornitori, approva slittamenti, consegne ed </w:t>
            </w:r>
            <w:r>
              <w:rPr>
                <w:b/>
                <w:bCs/>
                <w:color w:val="18203A"/>
              </w:rPr>
              <w:t xml:space="preserve">extra entro soglia</w:t>
            </w:r>
            <w:r>
              <w:rPr>
                <w:color w:val="18203A"/>
              </w:rPr>
              <w:t xml:space="preserve">.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Fornitore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Referente del terzo accreditato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Vede le proposte a lui destinate e le proprie commesse. Quota, accetta con firma, aggiorna l'avanzamento, apre richieste guidate, chiede extra e l'autorizzazione a consegnare.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t xml:space="preserve">2.2 Matrice delle deleghe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2608"/>
        <w:gridCol w:w="2235"/>
        <w:gridCol w:w="2235"/>
        <w:gridCol w:w="2236"/>
      </w:tblGrid>
      <w:tr>
        <w:trPr>
          <w:tblHeader/>
        </w:trPr>
        <w:tc>
          <w:tcPr>
            <w:tcW w:type="dxa" w:w="2608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Azione</w:t>
            </w:r>
          </w:p>
        </w:tc>
        <w:tc>
          <w:tcPr>
            <w:tcW w:type="dxa" w:w="2235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1E2748"/>
              </w:rPr>
              <w:t xml:space="preserve">Responsabile</w:t>
            </w:r>
          </w:p>
        </w:tc>
        <w:tc>
          <w:tcPr>
            <w:tcW w:type="dxa" w:w="2235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1E2748"/>
              </w:rPr>
              <w:t xml:space="preserve">Caposquadra</w:t>
            </w:r>
          </w:p>
        </w:tc>
        <w:tc>
          <w:tcPr>
            <w:tcW w:type="dxa" w:w="2236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1E2748"/>
              </w:rPr>
              <w:t xml:space="preserve">Fornitore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Creare una commessa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 pubblica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⚠️ propone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Approvare una proposta di commessa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6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Assegnare a un fornitore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Accettare una proposta (con firma)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6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Aggiornare l'avanzamento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Approvare uno slittamento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6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Approvare un </w:t>
            </w:r>
            <w:r>
              <w:rPr>
                <w:b/>
                <w:bCs/>
                <w:color w:val="18203A"/>
              </w:rPr>
              <w:t xml:space="preserve">extra ≤ 10%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Approvare un </w:t>
            </w:r>
            <w:r>
              <w:rPr>
                <w:b/>
                <w:bCs/>
                <w:color w:val="18203A"/>
              </w:rPr>
              <w:t xml:space="preserve">extra &gt; 10%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6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Autorizzare la consegna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Segnare consegnato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6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Chiudere la pratica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Creare/modificare anagrafica fornitori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6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t xml:space="preserve">2.3 Riservatezza: cosa non attraversa il confine</w:t>
      </w:r>
    </w:p>
    <w:p>
      <w:pPr>
        <w:spacing w:after="140" w:line="288"/>
      </w:pPr>
      <w:r>
        <w:t xml:space="preserve">Regola strutturale, non cosmetica: alcune informazioni </w:t>
      </w:r>
      <w:r>
        <w:rPr>
          <w:b/>
          <w:bCs/>
        </w:rPr>
        <w:t xml:space="preserve">non escono mai</w:t>
      </w:r>
      <w:r>
        <w:t xml:space="preserve"> verso il fornitore, perché riguardano la marginalità e la pianificazione interna di Righi.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2608"/>
        <w:gridCol w:w="2235"/>
        <w:gridCol w:w="2235"/>
        <w:gridCol w:w="2236"/>
      </w:tblGrid>
      <w:tr>
        <w:trPr>
          <w:tblHeader/>
        </w:trPr>
        <w:tc>
          <w:tcPr>
            <w:tcW w:type="dxa" w:w="2608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Dato</w:t>
            </w:r>
          </w:p>
        </w:tc>
        <w:tc>
          <w:tcPr>
            <w:tcW w:type="dxa" w:w="2235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1E2748"/>
              </w:rPr>
              <w:t xml:space="preserve">Righi</w:t>
            </w:r>
          </w:p>
        </w:tc>
        <w:tc>
          <w:tcPr>
            <w:tcW w:type="dxa" w:w="2235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1E2748"/>
              </w:rPr>
              <w:t xml:space="preserve">Fornitore</w:t>
            </w:r>
          </w:p>
        </w:tc>
        <w:tc>
          <w:tcPr>
            <w:tcW w:type="dxa" w:w="2236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Motivo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Ore stimate</w:t>
            </w:r>
            <w:r>
              <w:rPr>
                <w:color w:val="18203A"/>
              </w:rPr>
              <w:t xml:space="preserve"> e ore degli extra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Base del costo interno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Capacità mensile e saturazione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6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Posizione negoziale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Data di consegna al cliente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Margine di sicurezza di Righi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Importo</w:t>
            </w:r>
            <w:r>
              <w:rPr>
                <w:color w:val="18203A"/>
              </w:rPr>
              <w:t xml:space="preserve"> della commessa e degli extra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6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È il suo compenso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Date </w:t>
            </w:r>
            <w:r>
              <w:rPr>
                <w:b/>
                <w:bCs/>
                <w:color w:val="18203A"/>
              </w:rPr>
              <w:t xml:space="preserve">inizio stimato</w:t>
            </w:r>
            <w:r>
              <w:rPr>
                <w:color w:val="18203A"/>
              </w:rPr>
              <w:t xml:space="preserve"> e </w:t>
            </w:r>
            <w:r>
              <w:rPr>
                <w:b/>
                <w:bCs/>
                <w:color w:val="18203A"/>
              </w:rPr>
              <w:t xml:space="preserve">rientro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Sono i suoi impegni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Metriche</w:t>
            </w:r>
            <w:r>
              <w:rPr>
                <w:color w:val="18203A"/>
              </w:rPr>
              <w:t xml:space="preserve"> di prestazione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6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Identiche per entrambi, per costruzione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Commesse </w:t>
            </w:r>
            <w:r>
              <w:rPr>
                <w:b/>
                <w:bCs/>
                <w:color w:val="18203A"/>
              </w:rPr>
              <w:t xml:space="preserve">di altri fornitori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✅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center"/>
            </w:pPr>
            <w:r>
              <w:rPr>
                <w:color w:val="18203A"/>
              </w:rPr>
              <w:t xml:space="preserve">❌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Riservatezza commerciale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t xml:space="preserve">Al fornitore, dove Righi vede </w:t>
      </w:r>
      <w:r>
        <w:rPr>
          <w:i/>
          <w:iCs/>
        </w:rPr>
        <w:t xml:space="preserve">ore</w:t>
      </w:r>
      <w:r>
        <w:t xml:space="preserve">, il portale mostra </w:t>
      </w:r>
      <w:r>
        <w:rPr>
          <w:i/>
          <w:iCs/>
        </w:rPr>
        <w:t xml:space="preserve">importo</w:t>
      </w:r>
      <w:r>
        <w:t xml:space="preserve">: stessa realtà, grandezza appropriata a chi guarda.</w:t>
      </w:r>
    </w:p>
    <w:p>
      <w:pPr>
        <w:pStyle w:val="Heading1"/>
        <w:pageBreakBefore/>
        <w:pBdr>
          <w:bottom w:val="single" w:color="C4661A" w:sz="6" w:space="6"/>
        </w:pBdr>
        <w:spacing w:after="120" w:before="320"/>
      </w:pPr>
      <w:r>
        <w:t xml:space="preserve">3. Specifiche funzionali</w:t>
      </w:r>
    </w:p>
    <w:p>
      <w:pPr>
        <w:pStyle w:val="Heading2"/>
        <w:spacing w:after="120" w:before="240"/>
      </w:pPr>
      <w:r>
        <w:t xml:space="preserve">3.1 Ciclo di vita della commessa</w:t>
      </w:r>
    </w:p>
    <w:p>
      <w:pPr>
        <w:spacing w:after="140" w:line="288"/>
      </w:pPr>
      <w:r>
        <w:t xml:space="preserve">Ogni transizione ha un attore che la compie: non esistono stati irraggiungibili.</w:t>
      </w:r>
    </w:p>
    <w:p>
      <w:pPr>
        <w:spacing w:after="60" w:before="120"/>
        <w:jc w:val="center"/>
      </w:pPr>
      <w:r>
        <w:drawing>
          <wp:inline distT="0" distB="0" distL="0" distR="0">
            <wp:extent cx="3219450" cy="790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A8199"/>
          <w:sz w:val="17"/>
          <w:szCs w:val="17"/>
        </w:rPr>
        <w:t xml:space="preserve">Diagramma 1</w:t>
      </w:r>
    </w:p>
    <w:p>
      <w:pPr>
        <w:spacing w:after="140" w:line="288"/>
      </w:pPr>
      <w:r>
        <w:rPr>
          <w:b/>
          <w:bCs/>
        </w:rPr>
        <w:t xml:space="preserve">Etichette in interfaccia</w:t>
      </w:r>
      <w:r>
        <w:t xml:space="preserve">: lo stato interno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pubblicato</w:t>
      </w:r>
      <w:r>
        <w:t xml:space="preserve"> è mostrato come </w:t>
      </w:r>
      <w:r>
        <w:rPr>
          <w:b/>
          <w:bCs/>
        </w:rPr>
        <w:t xml:space="preserve">"Da assegnare"</w:t>
      </w:r>
      <w:r>
        <w:t xml:space="preserve">, perché descrive l'azione attesa da Righi anziché un fatto tecnico. Lo stesso badge colorato compare in bacheca, in cima alla commessa e nella guida.</w:t>
      </w:r>
    </w:p>
    <w:p>
      <w:pPr>
        <w:pStyle w:val="Heading2"/>
        <w:spacing w:after="120" w:before="240"/>
      </w:pPr>
      <w:r>
        <w:t xml:space="preserve">3.2 Visibilità delle commesse al fornitore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5372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A8199"/>
          <w:sz w:val="17"/>
          <w:szCs w:val="17"/>
        </w:rPr>
        <w:t xml:space="preserve">Diagramma 2</w:t>
      </w:r>
    </w:p>
    <w:p>
      <w:pPr>
        <w:spacing w:after="140" w:line="288"/>
      </w:pPr>
      <w:r>
        <w:t xml:space="preserve">Conseguenza voluta: </w:t>
      </w:r>
      <w:r>
        <w:rPr>
          <w:b/>
          <w:bCs/>
        </w:rPr>
        <w:t xml:space="preserve">appena una commessa è assegnata, sparisce dalla vista degli altri fornitori</w:t>
      </w:r>
      <w:r>
        <w:t xml:space="preserve">. Nessuno sa a chi è andata né a quanto.</w:t>
      </w:r>
    </w:p>
    <w:p>
      <w:pPr>
        <w:pStyle w:val="Heading2"/>
        <w:spacing w:after="120" w:before="240"/>
      </w:pPr>
      <w:r>
        <w:t xml:space="preserve">3.3 Le tre date e gli alert</w:t>
      </w:r>
    </w:p>
    <w:p>
      <w:pPr>
        <w:spacing w:after="140" w:line="288"/>
      </w:pPr>
      <w:r>
        <w:t xml:space="preserve">Il portale distingue tre date con funzioni diverse. È la distinzione che rende sensati gli allarmi: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2608"/>
        <w:gridCol w:w="2235"/>
        <w:gridCol w:w="2235"/>
        <w:gridCol w:w="2236"/>
      </w:tblGrid>
      <w:tr>
        <w:trPr>
          <w:tblHeader/>
        </w:trPr>
        <w:tc>
          <w:tcPr>
            <w:tcW w:type="dxa" w:w="2608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Data</w:t>
            </w:r>
          </w:p>
        </w:tc>
        <w:tc>
          <w:tcPr>
            <w:tcW w:type="dxa" w:w="2235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Significato</w:t>
            </w:r>
          </w:p>
        </w:tc>
        <w:tc>
          <w:tcPr>
            <w:tcW w:type="dxa" w:w="2235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Chi la vede</w:t>
            </w:r>
          </w:p>
        </w:tc>
        <w:tc>
          <w:tcPr>
            <w:tcW w:type="dxa" w:w="2236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Ruolo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Inizio lavori stimato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Quando dovrebbe partire la produzione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Righi + fornitore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Alert </w:t>
            </w:r>
            <w:r>
              <w:rPr>
                <w:i/>
                <w:iCs/>
                <w:color w:val="18203A"/>
              </w:rPr>
              <w:t xml:space="preserve">inizio in ritardo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Rientro in Righi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Riconsegna del quadro finito</w:t>
            </w:r>
          </w:p>
        </w:tc>
        <w:tc>
          <w:tcPr>
            <w:tcW w:type="dxa" w:w="2235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Righi + fornitore</w:t>
            </w:r>
          </w:p>
        </w:tc>
        <w:tc>
          <w:tcPr>
            <w:tcW w:type="dxa" w:w="2236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Scadenza operativa: carico, puntualità, ordinamenti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Consegna al cliente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Impegno di Righi verso il cliente finale</w:t>
            </w:r>
          </w:p>
        </w:tc>
        <w:tc>
          <w:tcPr>
            <w:tcW w:type="dxa" w:w="223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Solo Righi</w:t>
            </w:r>
          </w:p>
        </w:tc>
        <w:tc>
          <w:tcPr>
            <w:tcW w:type="dxa" w:w="223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Margine interno, </w:t>
            </w:r>
            <w:r>
              <w:rPr>
                <w:b/>
                <w:bCs/>
                <w:color w:val="18203A"/>
              </w:rPr>
              <w:t xml:space="preserve">mai</w:t>
            </w:r>
            <w:r>
              <w:rPr>
                <w:color w:val="18203A"/>
              </w:rPr>
              <w:t xml:space="preserve"> usata per gli alert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t xml:space="preserve">Gli alert si basano </w:t>
      </w:r>
      <w:r>
        <w:rPr>
          <w:b/>
          <w:bCs/>
        </w:rPr>
        <w:t xml:space="preserve">solo sulle date operative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Inizio in ritardo</w:t>
      </w:r>
      <w:r>
        <w:t xml:space="preserve"> — commessa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assegnato</w:t>
      </w:r>
      <w:r>
        <w:t xml:space="preserve"> con inizio stimato superato (produzione non ancora partita).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Rientro in ritardo</w:t>
      </w:r>
      <w:r>
        <w:t xml:space="preserve"> — commessa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assegnato</w:t>
      </w:r>
      <w:r>
        <w:t xml:space="preserve"> o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in_corso</w:t>
      </w:r>
      <w:r>
        <w:t xml:space="preserve"> con rientro superato.</w:t>
      </w:r>
    </w:p>
    <w:p>
      <w:pPr>
        <w:spacing w:after="120"/>
      </w:pPr>
    </w:p>
    <w:p>
      <w:pPr>
        <w:spacing w:after="140" w:line="288"/>
      </w:pPr>
      <w:r>
        <w:t xml:space="preserve">Il </w:t>
      </w:r>
      <w:r>
        <w:rPr>
          <w:i/>
          <w:iCs/>
        </w:rPr>
        <w:t xml:space="preserve">semaforo di salute</w:t>
      </w:r>
      <w:r>
        <w:t xml:space="preserve"> aggiunge la previsione, incrociando giorni residui, avanzamento dichiarato e puntualità storica del fornitore: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A8199"/>
          <w:sz w:val="17"/>
          <w:szCs w:val="17"/>
        </w:rPr>
        <w:t xml:space="preserve">Diagramma 3</w:t>
      </w:r>
    </w:p>
    <w:p>
      <w:pPr>
        <w:pStyle w:val="Heading2"/>
        <w:spacing w:after="120" w:before="240"/>
      </w:pPr>
      <w:r>
        <w:t xml:space="preserve">3.4 Dalla pubblicazione all'assegnazione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A8199"/>
          <w:sz w:val="17"/>
          <w:szCs w:val="17"/>
        </w:rPr>
        <w:t xml:space="preserve">Diagramma 4</w:t>
      </w:r>
    </w:p>
    <w:p>
      <w:pPr>
        <w:spacing w:after="140" w:line="288"/>
      </w:pPr>
      <w:r>
        <w:rPr>
          <w:b/>
          <w:bCs/>
        </w:rPr>
        <w:t xml:space="preserve">Suggerimento dei fornitori</w:t>
      </w:r>
      <w:r>
        <w:t xml:space="preserve"> — punteggio calcolato, non arbitrario. Concorrono solo fornitori </w:t>
      </w:r>
      <w:r>
        <w:rPr>
          <w:b/>
          <w:bCs/>
        </w:rPr>
        <w:t xml:space="preserve">accreditati e attivi</w:t>
      </w:r>
      <w:r>
        <w:t xml:space="preserve">: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3167"/>
        <w:gridCol w:w="6147"/>
      </w:tblGrid>
      <w:tr>
        <w:trPr>
          <w:tblHeader/>
        </w:trPr>
        <w:tc>
          <w:tcPr>
            <w:tcW w:type="dxa" w:w="316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Fattore</w:t>
            </w:r>
          </w:p>
        </w:tc>
        <w:tc>
          <w:tcPr>
            <w:tcW w:type="dxa" w:w="614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Peso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Preferenza dell'OTL per quel fornitore (% storica)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+ metà della percentuale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Specializzazione sulla tipologia di quadro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+ 35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Esperienza nel settore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+ 20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Certificazione &gt;250A su quadri di potenza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+ 12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Certificazione igienico/food su food e farmaceutico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+ 10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Capacità libera sufficiente nel mese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+ 20 (parziale + 8, saturo − 12)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Puntualità storica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± in proporzione allo scarto da 70%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Ingombro non lavorabile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− 45</w:t>
            </w:r>
            <w:r>
              <w:rPr>
                <w:color w:val="18203A"/>
              </w:rPr>
              <w:t xml:space="preserve"> (vincolo quasi bloccante)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b/>
          <w:bCs/>
        </w:rPr>
        <w:t xml:space="preserve">Firma leggera</w:t>
      </w:r>
      <w:r>
        <w:t xml:space="preserve"> — accettando, il fornitore spunta una conferma a proprio nome: il portale registra nominativo, data e ora. Vale come assunzione di impegno tracciata; l'irrobustimento (hash, IP, PDF d'ordine) è previsto lato server.</w:t>
      </w:r>
    </w:p>
    <w:p>
      <w:pPr>
        <w:pStyle w:val="Heading2"/>
        <w:spacing w:after="120" w:before="240"/>
      </w:pPr>
      <w:r>
        <w:t xml:space="preserve">3.5 Comunicazione: richieste guidate</w:t>
      </w:r>
    </w:p>
    <w:p>
      <w:pPr>
        <w:spacing w:after="140" w:line="288"/>
      </w:pPr>
      <w:r>
        <w:t xml:space="preserve">Il fornitore non scrive email libere: sceglie un </w:t>
      </w:r>
      <w:r>
        <w:rPr>
          <w:b/>
          <w:bCs/>
        </w:rPr>
        <w:t xml:space="preserve">tipo</w:t>
      </w:r>
      <w:r>
        <w:t xml:space="preserve"> e il portale struttura il resto. Otto tipi disponibili: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3167"/>
        <w:gridCol w:w="6147"/>
      </w:tblGrid>
      <w:tr>
        <w:trPr>
          <w:tblHeader/>
        </w:trPr>
        <w:tc>
          <w:tcPr>
            <w:tcW w:type="dxa" w:w="316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Tipo</w:t>
            </w:r>
          </w:p>
        </w:tc>
        <w:tc>
          <w:tcPr>
            <w:tcW w:type="dxa" w:w="614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Effetto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Dubbio tecnico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Conversazione con il caposquadra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Mancanza materiale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Idem, con foto allegabile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Richiesta di slittamento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Se approvata </w:t>
            </w:r>
            <w:r>
              <w:rPr>
                <w:b/>
                <w:bCs/>
                <w:color w:val="18203A"/>
              </w:rPr>
              <w:t xml:space="preserve">sposta la data di rientro</w:t>
            </w:r>
            <w:r>
              <w:rPr>
                <w:color w:val="18203A"/>
              </w:rPr>
              <w:t xml:space="preserve"> con storico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Segnalazione ritardo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Segnalazione tracciata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Chiarimento layout / sopralluogo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Conversazione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Richiesta di approvazione consegna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Se approvata </w:t>
            </w:r>
            <w:r>
              <w:rPr>
                <w:b/>
                <w:bCs/>
                <w:color w:val="18203A"/>
              </w:rPr>
              <w:t xml:space="preserve">sblocca</w:t>
            </w:r>
            <w:r>
              <w:rPr>
                <w:color w:val="18203A"/>
              </w:rPr>
              <w:t xml:space="preserve"> il "Segna consegnato"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Richiesta di extra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Se approvata </w:t>
            </w:r>
            <w:r>
              <w:rPr>
                <w:b/>
                <w:bCs/>
                <w:color w:val="18203A"/>
              </w:rPr>
              <w:t xml:space="preserve">aumenta l'importo</w:t>
            </w:r>
            <w:r>
              <w:rPr>
                <w:color w:val="18203A"/>
              </w:rPr>
              <w:t xml:space="preserve"> della commessa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Altro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Descrizione obbligatoria</w:t>
            </w:r>
            <w:r>
              <w:rPr>
                <w:color w:val="18203A"/>
              </w:rPr>
              <w:t xml:space="preserve">: una richiesta generica senza spiegazione non è valutabile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t xml:space="preserve">Il caposquadra risponde con </w:t>
      </w:r>
      <w:r>
        <w:rPr>
          <w:b/>
          <w:bCs/>
        </w:rPr>
        <w:t xml:space="preserve">risposte rapide</w:t>
      </w:r>
      <w:r>
        <w:t xml:space="preserve"> predefinite (</w:t>
      </w:r>
      <w:r>
        <w:rPr>
          <w:i/>
          <w:iCs/>
        </w:rPr>
        <w:t xml:space="preserve">Procedi pure</w:t>
      </w:r>
      <w:r>
        <w:t xml:space="preserve">, </w:t>
      </w:r>
      <w:r>
        <w:rPr>
          <w:i/>
          <w:iCs/>
        </w:rPr>
        <w:t xml:space="preserve">Ti richiamo a breve</w:t>
      </w:r>
      <w:r>
        <w:t xml:space="preserve">, </w:t>
      </w:r>
      <w:r>
        <w:rPr>
          <w:i/>
          <w:iCs/>
        </w:rPr>
        <w:t xml:space="preserve">OK usa l'alternativa</w:t>
      </w:r>
      <w:r>
        <w:t xml:space="preserve">, </w:t>
      </w:r>
      <w:r>
        <w:rPr>
          <w:i/>
          <w:iCs/>
        </w:rPr>
        <w:t xml:space="preserve">Serve un sopralluogo</w:t>
      </w:r>
      <w:r>
        <w:t xml:space="preserve">, </w:t>
      </w:r>
      <w:r>
        <w:rPr>
          <w:i/>
          <w:iCs/>
        </w:rPr>
        <w:t xml:space="preserve">Verifico e ti aggiorno</w:t>
      </w:r>
      <w:r>
        <w:t xml:space="preserve">) — conversazione senza tastiera.</w:t>
      </w:r>
    </w:p>
    <w:p>
      <w:pPr>
        <w:pStyle w:val="Heading2"/>
        <w:spacing w:after="120" w:before="240"/>
      </w:pPr>
      <w:r>
        <w:t xml:space="preserve">3.6 Gestione degli extra</w:t>
      </w:r>
    </w:p>
    <w:p>
      <w:pPr>
        <w:spacing w:after="140" w:line="288"/>
      </w:pPr>
      <w:r>
        <w:t xml:space="preserve">Il problema che risolve: senza uno strumento, la lavorazione in più si tratta a voce, l'importo reale diverge da quello registrato e il conto si discute a lavoro finito, quando Righi ha già il quadro in casa.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A8199"/>
          <w:sz w:val="17"/>
          <w:szCs w:val="17"/>
        </w:rPr>
        <w:t xml:space="preserve">Diagramma 5</w:t>
      </w:r>
    </w:p>
    <w:p>
      <w:pPr>
        <w:spacing w:after="140" w:line="288"/>
      </w:pPr>
      <w:r>
        <w:rPr>
          <w:b/>
          <w:bCs/>
        </w:rPr>
        <w:t xml:space="preserve">Regole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Soglia: 10%</w:t>
      </w:r>
      <w:r>
        <w:t xml:space="preserve"> dell'importo concordato (costante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EXTRA_SOGLIA_PERC</w:t>
      </w:r>
      <w:r>
        <w:t xml:space="preserve">). Su una commessa da 10.000 € il confine è 1.000 €. Il controllo è applicato anche alla chiamata diretta, non solo nascondendo i pulsanti.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Contro-proposta</w:t>
      </w:r>
      <w:r>
        <w:t xml:space="preserve">: Righi può riconoscere un importo </w:t>
      </w:r>
      <w:r>
        <w:rPr>
          <w:b/>
          <w:bCs/>
        </w:rPr>
        <w:t xml:space="preserve">diverso</w:t>
      </w:r>
      <w:r>
        <w:t xml:space="preserve"> da quello richiesto. È il caso reale più frequente; senza questa possibilità la funzione si ridurrebbe a "tutto o niente".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Le ore contano</w:t>
      </w:r>
      <w:r>
        <w:t xml:space="preserve">: le ore aggiuntive (dato interno) entrano in carico, capacità mensile e analisi del collo di bottiglia. Ometterle farebbe apparire più capacità libera di quanta ce ne sia — la pianificazione si sfaserebbe in silenzio.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Blocco</w:t>
      </w:r>
      <w:r>
        <w:t xml:space="preserve">: un extra ancora aperto </w:t>
      </w:r>
      <w:r>
        <w:rPr>
          <w:b/>
          <w:bCs/>
        </w:rPr>
        <w:t xml:space="preserve">impedisce l'autorizzazione a consegnare</w:t>
      </w:r>
      <w:r>
        <w:t xml:space="preserve">. Le questioni economiche si chiudono prima che il quadro rientri.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Effetti a valle</w:t>
      </w:r>
      <w:r>
        <w:t xml:space="preserve">: importo finale = concordato + extra approvati; l'export per l'ERP distingue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importo_base</w:t>
      </w:r>
      <w:r>
        <w:t xml:space="preserve">,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extra_approvati</w:t>
      </w:r>
      <w:r>
        <w:t xml:space="preserve">,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importo_finale</w:t>
      </w:r>
      <w:r>
        <w:t xml:space="preserve">.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3.7 Consegna con autorizzazione</w:t>
      </w:r>
    </w:p>
    <w:p>
      <w:pPr>
        <w:spacing w:after="140" w:line="288"/>
      </w:pPr>
      <w:r>
        <w:t xml:space="preserve">Il fornitore </w:t>
      </w:r>
      <w:r>
        <w:rPr>
          <w:b/>
          <w:bCs/>
        </w:rPr>
        <w:t xml:space="preserve">non chiude da solo</w:t>
      </w:r>
      <w:r>
        <w:t xml:space="preserve">. Quando è pronto chiede l'autorizzazione; solo dopo l'ok compare </w:t>
      </w:r>
      <w:r>
        <w:rPr>
          <w:i/>
          <w:iCs/>
        </w:rPr>
        <w:t xml:space="preserve">Segna consegnato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711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A8199"/>
          <w:sz w:val="17"/>
          <w:szCs w:val="17"/>
        </w:rPr>
        <w:t xml:space="preserve">Diagramma 6</w:t>
      </w:r>
    </w:p>
    <w:p>
      <w:pPr>
        <w:spacing w:after="140" w:line="288"/>
      </w:pPr>
      <w:r>
        <w:t xml:space="preserve">Il </w:t>
      </w:r>
      <w:r>
        <w:rPr>
          <w:b/>
          <w:bCs/>
        </w:rPr>
        <w:t xml:space="preserve">rientro effettivo</w:t>
      </w:r>
      <w:r>
        <w:t xml:space="preserve"> registrato alla consegna alimenta la puntualità: è un dato di fatto, non una valutazione.</w:t>
      </w:r>
    </w:p>
    <w:p>
      <w:pPr>
        <w:pStyle w:val="Heading2"/>
        <w:spacing w:after="120" w:before="240"/>
      </w:pPr>
      <w:r>
        <w:t xml:space="preserve">3.8 Metriche del fornitore</w:t>
      </w:r>
    </w:p>
    <w:p>
      <w:pPr>
        <w:spacing w:after="140" w:line="288"/>
      </w:pPr>
      <w:r>
        <w:t xml:space="preserve">Calcolate dai lavori, </w:t>
      </w:r>
      <w:r>
        <w:rPr>
          <w:b/>
          <w:bCs/>
        </w:rPr>
        <w:t xml:space="preserve">mai inserite a mano</w:t>
      </w:r>
      <w:r>
        <w:t xml:space="preserve">, e </w:t>
      </w:r>
      <w:r>
        <w:rPr>
          <w:b/>
          <w:bCs/>
        </w:rPr>
        <w:t xml:space="preserve">identiche</w:t>
      </w:r>
      <w:r>
        <w:t xml:space="preserve"> nelle due viste — è ciò che le rende condivisibili in una discussione.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3167"/>
        <w:gridCol w:w="6147"/>
      </w:tblGrid>
      <w:tr>
        <w:trPr>
          <w:tblHeader/>
        </w:trPr>
        <w:tc>
          <w:tcPr>
            <w:tcW w:type="dxa" w:w="316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Metrica</w:t>
            </w:r>
          </w:p>
        </w:tc>
        <w:tc>
          <w:tcPr>
            <w:tcW w:type="dxa" w:w="614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Definizione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Puntualità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% di consegne con rientro effettivo ≤ rientro concordato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Ritardo medio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Giorni medi di ritardo sulle sole consegne in ritardo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Lavori / mese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Commesse assegnate ÷ mesi di attività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Tasso di accettazione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Accettate ÷ invitate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Tempo di risposta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Giorni medi tra pubblicazione e accettazione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Valore attivo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Somma degli importi delle commesse in corso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Extra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% di commesse con extra e scostamento % sul concordato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Carico ore / saturazione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i/>
                <w:iCs/>
                <w:color w:val="18203A"/>
              </w:rPr>
              <w:t xml:space="preserve">Solo Righi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t xml:space="preserve">3.9 Comunicazione verso l'esterno: il magic link</w:t>
      </w:r>
    </w:p>
    <w:p>
      <w:pPr>
        <w:spacing w:after="140" w:line="288"/>
      </w:pPr>
      <w:r>
        <w:t xml:space="preserve">Un fornitore poco pratico del portale non scopre da solo che è arrivata una risposta. Il portale quindi </w:t>
      </w:r>
      <w:r>
        <w:rPr>
          <w:b/>
          <w:bCs/>
        </w:rPr>
        <w:t xml:space="preserve">spinge</w:t>
      </w:r>
      <w:r>
        <w:t xml:space="preserve">, non aspetta.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1485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A8199"/>
          <w:sz w:val="17"/>
          <w:szCs w:val="17"/>
        </w:rPr>
        <w:t xml:space="preserve">Diagramma 7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t xml:space="preserve">Il link porta </w:t>
      </w:r>
      <w:r>
        <w:rPr>
          <w:b/>
          <w:bCs/>
        </w:rPr>
        <w:t xml:space="preserve">direttamente alla pagina finale</w:t>
      </w:r>
      <w:r>
        <w:t xml:space="preserve"> — la commessa da accettare, la richiesta a cui rispondere — </w:t>
      </w:r>
      <w:r>
        <w:rPr>
          <w:b/>
          <w:bCs/>
        </w:rPr>
        <w:t xml:space="preserve">senza passare dal login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t xml:space="preserve">L'invio a più fornitori è </w:t>
      </w:r>
      <w:r>
        <w:rPr>
          <w:b/>
          <w:bCs/>
        </w:rPr>
        <w:t xml:space="preserve">personalizzato</w:t>
      </w:r>
      <w:r>
        <w:t xml:space="preserve">: un messaggio a testa, con il </w:t>
      </w:r>
      <w:r>
        <w:rPr>
          <w:b/>
          <w:bCs/>
        </w:rPr>
        <w:t xml:space="preserve">proprio</w:t>
      </w:r>
      <w:r>
        <w:t xml:space="preserve"> link e il </w:t>
      </w:r>
      <w:r>
        <w:rPr>
          <w:b/>
          <w:bCs/>
        </w:rPr>
        <w:t xml:space="preserve">solo</w:t>
      </w:r>
      <w:r>
        <w:t xml:space="preserve"> proprio indirizzo. Più riservato di una copia nascosta, perché ogni email ha un unico destinatario.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Il link identifica, non autorizza</w:t>
      </w:r>
      <w:r>
        <w:t xml:space="preserve">: un codice commessa non è una password. Prima di aprire, il portale verifica sempre il diritto di vedere quel contenuto.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t xml:space="preserve">L'identità viene </w:t>
      </w:r>
      <w:r>
        <w:rPr>
          <w:b/>
          <w:bCs/>
        </w:rPr>
        <w:t xml:space="preserve">ripulita dall'URL</w:t>
      </w:r>
      <w:r>
        <w:t xml:space="preserve"> subito dopo l'accesso.</w:t>
      </w:r>
    </w:p>
    <w:p>
      <w:pPr>
        <w:spacing w:after="120"/>
      </w:pPr>
    </w:p>
    <w:p>
      <w:pPr>
        <w:pStyle w:val="Heading1"/>
        <w:pageBreakBefore/>
        <w:pBdr>
          <w:bottom w:val="single" w:color="C4661A" w:sz="6" w:space="6"/>
        </w:pBdr>
        <w:spacing w:after="120" w:before="320"/>
      </w:pPr>
      <w:r>
        <w:t xml:space="preserve">4. Specifiche tecniche</w:t>
      </w:r>
    </w:p>
    <w:p>
      <w:pPr>
        <w:pStyle w:val="Heading2"/>
        <w:spacing w:after="120" w:before="240"/>
      </w:pPr>
      <w:r>
        <w:t xml:space="preserve">4.1 Architettura</w:t>
      </w:r>
    </w:p>
    <w:p>
      <w:pPr>
        <w:spacing w:after="140" w:line="288"/>
      </w:pPr>
      <w:r>
        <w:t xml:space="preserve">Applicazione </w:t>
      </w:r>
      <w:r>
        <w:rPr>
          <w:b/>
          <w:bCs/>
        </w:rPr>
        <w:t xml:space="preserve">a file unico</w:t>
      </w:r>
      <w:r>
        <w:t xml:space="preserve">: nessuna dipendenza esterna, nessun font o immagine remota, nessun processo di build necessario per l'esecuzione.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A8199"/>
          <w:sz w:val="17"/>
          <w:szCs w:val="17"/>
        </w:rPr>
        <w:t xml:space="preserve">Diagramma 8</w:t>
      </w:r>
    </w:p>
    <w:p>
      <w:pPr>
        <w:spacing w:after="140" w:line="288"/>
      </w:pPr>
      <w:r>
        <w:rPr>
          <w:b/>
          <w:bCs/>
        </w:rPr>
        <w:t xml:space="preserve">Scelte strutturali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Un solo gestore di eventi</w:t>
      </w:r>
      <w:r>
        <w:t xml:space="preserve"> in delega: ogni elemento interattivo dichiara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data-act</w:t>
      </w:r>
      <w:r>
        <w:t xml:space="preserve">, un unico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switch</w:t>
      </w:r>
      <w:r>
        <w:t xml:space="preserve"> instrada. Verificabile automaticamente che non esistano pulsanti privi di effetto né gestori senza pulsante.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Render integrale per ruolo</w:t>
      </w:r>
      <w:r>
        <w:t xml:space="preserve">: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render()</w:t>
      </w:r>
      <w:r>
        <w:t xml:space="preserve"> ricostruisce la vista dallo stato; non esiste stato dell'interfaccia separato da quello dei dati.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Nessuna emoji</w:t>
      </w:r>
      <w:r>
        <w:t xml:space="preserve">: icone SVG in linea (mappa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IC</w:t>
      </w:r>
      <w:r>
        <w:t xml:space="preserve">), per resa uniforme e stampa.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</w:rPr>
        <w:t xml:space="preserve">Offline-first</w:t>
      </w:r>
      <w:r>
        <w:t xml:space="preserve">: PWA con service worker; i dati restano sul dispositivo.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4.2 Modello dati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588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A8199"/>
          <w:sz w:val="17"/>
          <w:szCs w:val="17"/>
        </w:rPr>
        <w:t xml:space="preserve">Diagramma 9</w:t>
      </w:r>
    </w:p>
    <w:p>
      <w:pPr>
        <w:spacing w:after="140" w:line="288"/>
      </w:pPr>
      <w:r>
        <w:rPr>
          <w:b/>
          <w:bCs/>
        </w:rPr>
        <w:t xml:space="preserve">Regole di derivazione</w:t>
      </w:r>
      <w:r>
        <w:t xml:space="preserve"> (calcolate, mai memorizzate due volte):</w:t>
      </w:r>
    </w:p>
    <w:p>
      <w:pPr>
        <w:shd w:fill="F5F6FA" w:color="auto" w:val="clear"/>
        <w:spacing w:after="0" w:line="240"/>
        <w:ind w:left="200"/>
      </w:pPr>
      <w:r>
        <w:rPr>
          <w:rFonts w:ascii="Consolas" w:cs="Consolas" w:eastAsia="Consolas" w:hAnsi="Consolas"/>
          <w:color w:val="18203A"/>
          <w:sz w:val="17"/>
          <w:szCs w:val="17"/>
        </w:rPr>
        <w:t xml:space="preserve">importo_base    = importo accettato, altrimenti budget</w:t>
      </w:r>
    </w:p>
    <w:p>
      <w:pPr>
        <w:shd w:fill="F5F6FA" w:color="auto" w:val="clear"/>
        <w:spacing w:after="0" w:line="240"/>
        <w:ind w:left="200"/>
      </w:pPr>
      <w:r>
        <w:rPr>
          <w:rFonts w:ascii="Consolas" w:cs="Consolas" w:eastAsia="Consolas" w:hAnsi="Consolas"/>
          <w:color w:val="18203A"/>
          <w:sz w:val="17"/>
          <w:szCs w:val="17"/>
        </w:rPr>
        <w:t xml:space="preserve">importo_finale  = importo_base + somma(extra approvati)</w:t>
      </w:r>
    </w:p>
    <w:p>
      <w:pPr>
        <w:shd w:fill="F5F6FA" w:color="auto" w:val="clear"/>
        <w:spacing w:after="0" w:line="240"/>
        <w:ind w:left="200"/>
      </w:pPr>
      <w:r>
        <w:rPr>
          <w:rFonts w:ascii="Consolas" w:cs="Consolas" w:eastAsia="Consolas" w:hAnsi="Consolas"/>
          <w:color w:val="18203A"/>
          <w:sz w:val="17"/>
          <w:szCs w:val="17"/>
        </w:rPr>
        <w:t xml:space="preserve">ore_totali      = ore_stimate + somma(ore degli extra)</w:t>
      </w:r>
    </w:p>
    <w:p>
      <w:pPr>
        <w:shd w:fill="F5F6FA" w:color="auto" w:val="clear"/>
        <w:spacing w:after="0" w:line="240"/>
        <w:ind w:left="200"/>
      </w:pPr>
      <w:r>
        <w:rPr>
          <w:rFonts w:ascii="Consolas" w:cs="Consolas" w:eastAsia="Consolas" w:hAnsi="Consolas"/>
          <w:color w:val="18203A"/>
          <w:sz w:val="17"/>
          <w:szCs w:val="17"/>
        </w:rPr>
        <w:t xml:space="preserve">soglia_extra    = 10% di importo_base</w:t>
      </w:r>
    </w:p>
    <w:p>
      <w:pPr>
        <w:shd w:fill="F5F6FA" w:color="auto" w:val="clear"/>
        <w:spacing w:after="0" w:line="240"/>
        <w:ind w:left="200"/>
      </w:pPr>
      <w:r>
        <w:rPr>
          <w:rFonts w:ascii="Consolas" w:cs="Consolas" w:eastAsia="Consolas" w:hAnsi="Consolas"/>
          <w:color w:val="18203A"/>
          <w:sz w:val="17"/>
          <w:szCs w:val="17"/>
        </w:rPr>
        <w:t xml:space="preserve">carico(mese)    = somma ore_totali delle commesse attive con rientro in quel mese</w:t>
      </w:r>
    </w:p>
    <w:p>
      <w:pPr>
        <w:shd w:fill="F5F6FA" w:color="auto" w:val="clear"/>
        <w:spacing w:after="0" w:line="240"/>
        <w:ind w:left="200"/>
      </w:pPr>
      <w:r>
        <w:rPr>
          <w:rFonts w:ascii="Consolas" w:cs="Consolas" w:eastAsia="Consolas" w:hAnsi="Consolas"/>
          <w:color w:val="18203A"/>
          <w:sz w:val="17"/>
          <w:szCs w:val="17"/>
        </w:rPr>
        <w:t xml:space="preserve">capacità_libera = capacità_mensile − carico(mese)</w:t>
      </w:r>
    </w:p>
    <w:p>
      <w:pPr>
        <w:spacing w:after="160"/>
      </w:pPr>
    </w:p>
    <w:p>
      <w:pPr>
        <w:pStyle w:val="Heading2"/>
        <w:spacing w:after="120" w:before="240"/>
      </w:pPr>
      <w:r>
        <w:t xml:space="preserve">4.3 Ottimizzazione: il portale come grafo</w:t>
      </w:r>
    </w:p>
    <w:p>
      <w:pPr>
        <w:spacing w:after="140" w:line="288"/>
      </w:pPr>
      <w:r>
        <w:t xml:space="preserve">Lo stato è naturalmente un grafo (fornitori, commesse, richieste, inviti). Tre applicazioni concrete:</w:t>
      </w:r>
    </w:p>
    <w:p>
      <w:pPr>
        <w:spacing w:after="140" w:line="288"/>
      </w:pPr>
      <w:r>
        <w:rPr>
          <w:b/>
          <w:bCs/>
        </w:rPr>
        <w:t xml:space="preserve">a) Indice ad adiacenze — prestazioni.</w:t>
      </w:r>
      <w:r>
        <w:t xml:space="preserve"> Ricostruito una volta per versione dello stato, con memoizzazione delle metriche. Il render, prima quadratico (ogni riga riscandiva tutte le commesse), è ora lineare: a 1000 commesse </w:t>
      </w:r>
      <w:r>
        <w:rPr>
          <w:b/>
          <w:bCs/>
        </w:rPr>
        <w:t xml:space="preserve">circa 10 volte più veloce</w:t>
      </w:r>
      <w:r>
        <w:t xml:space="preserve"> (73 ms → 7 ms), a parità di risultati verificata da test di invarianza.</w:t>
      </w:r>
    </w:p>
    <w:p>
      <w:pPr>
        <w:spacing w:after="140" w:line="288"/>
      </w:pPr>
      <w:r>
        <w:rPr>
          <w:b/>
          <w:bCs/>
        </w:rPr>
        <w:t xml:space="preserve">b) Assegnazione ottima — matching di peso massimo.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A8199"/>
          <w:sz w:val="17"/>
          <w:szCs w:val="17"/>
        </w:rPr>
        <w:t xml:space="preserve">Diagramma 10</w:t>
      </w:r>
    </w:p>
    <w:p>
      <w:pPr>
        <w:spacing w:after="140" w:line="288"/>
      </w:pPr>
      <w:r>
        <w:t xml:space="preserve">Considera </w:t>
      </w:r>
      <w:r>
        <w:rPr>
          <w:b/>
          <w:bCs/>
        </w:rPr>
        <w:t xml:space="preserve">solo chi ha accettato</w:t>
      </w:r>
      <w:r>
        <w:t xml:space="preserve">, rispetta le </w:t>
      </w:r>
      <w:r>
        <w:rPr>
          <w:b/>
          <w:bCs/>
        </w:rPr>
        <w:t xml:space="preserve">ore libere per fornitore e mese</w:t>
      </w:r>
      <w:r>
        <w:t xml:space="preserve">, e propone l'allocazione complessiva (idoneità totale e commesse non collocabili) che Righi conferma. Invarianti verificate a test: nessuna commessa assegnata due volte, nessun fornitore oltre capacità.</w:t>
      </w:r>
    </w:p>
    <w:p>
      <w:pPr>
        <w:spacing w:after="140" w:line="288"/>
      </w:pPr>
      <w:r>
        <w:rPr>
          <w:b/>
          <w:bCs/>
        </w:rPr>
        <w:t xml:space="preserve">c) Collo di bottiglia — flusso massimo e taglio minimo.</w:t>
      </w:r>
      <w:r>
        <w:t xml:space="preserve"> Per ogni mese di rientro si costruisce una rete </w:t>
      </w:r>
      <w:r>
        <w:rPr>
          <w:i/>
          <w:iCs/>
        </w:rPr>
        <w:t xml:space="preserve">sorgente → commesse → fornitori → pozzo</w:t>
      </w:r>
      <w:r>
        <w:t xml:space="preserve">: il flusso massimo dice quante ore sono collocabili, il </w:t>
      </w:r>
      <w:r>
        <w:rPr>
          <w:b/>
          <w:bCs/>
        </w:rPr>
        <w:t xml:space="preserve">taglio minimo</w:t>
      </w:r>
      <w:r>
        <w:t xml:space="preserve"> indica </w:t>
      </w:r>
      <w:r>
        <w:rPr>
          <w:b/>
          <w:bCs/>
        </w:rPr>
        <w:t xml:space="preserve">quali fornitori sono il vincolo</w:t>
      </w:r>
      <w:r>
        <w:t xml:space="preserve">, distinguendo il caso "manca capacità" dal caso "manca lo spazio o l'accettazione".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A8199"/>
          <w:sz w:val="17"/>
          <w:szCs w:val="17"/>
        </w:rPr>
        <w:t xml:space="preserve">Diagramma 11</w:t>
      </w:r>
    </w:p>
    <w:p>
      <w:pPr>
        <w:pStyle w:val="Heading2"/>
        <w:spacing w:after="120" w:before="240"/>
      </w:pPr>
      <w:r>
        <w:t xml:space="preserve">4.4 Persistenza e versione dei dati</w:t>
      </w:r>
    </w:p>
    <w:p>
      <w:pPr>
        <w:spacing w:after="140" w:line="288"/>
      </w:pPr>
      <w:r>
        <w:t xml:space="preserve">I dati vivono nello storage del dispositivo. Poiché il codice si aggiorna mentre i dati salvati restano, ogni salvataggio porta la </w:t>
      </w:r>
      <w:r>
        <w:rPr>
          <w:b/>
          <w:bCs/>
        </w:rPr>
        <w:t xml:space="preserve">versione del modello</w:t>
      </w:r>
      <w:r>
        <w:t xml:space="preserve"> (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DATA_VERSION</w:t>
      </w:r>
      <w:r>
        <w:t xml:space="preserve">): se non coincide con quella dell'applicazione, i dati vengono </w:t>
      </w:r>
      <w:r>
        <w:rPr>
          <w:b/>
          <w:bCs/>
        </w:rPr>
        <w:t xml:space="preserve">rigenerati</w:t>
      </w:r>
      <w:r>
        <w:t xml:space="preserve">. Senza questo controllo un dispositivo già usato continuerebbe a mostrare il modello vecchio con il codice nuovo — sembrando "una versione vecchia". È disponibile anche un </w:t>
      </w:r>
      <w:r>
        <w:rPr>
          <w:b/>
          <w:bCs/>
        </w:rPr>
        <w:t xml:space="preserve">ripristino manuale</w:t>
      </w:r>
      <w:r>
        <w:t xml:space="preserve"> dei dati dimostrativi.</w:t>
      </w:r>
    </w:p>
    <w:p>
      <w:pPr>
        <w:pStyle w:val="Heading2"/>
        <w:spacing w:after="120" w:before="240"/>
      </w:pPr>
      <w:r>
        <w:t xml:space="preserve">4.5 Sicurezza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2608"/>
        <w:gridCol w:w="3353"/>
        <w:gridCol w:w="3353"/>
      </w:tblGrid>
      <w:tr>
        <w:trPr>
          <w:tblHeader/>
        </w:trPr>
        <w:tc>
          <w:tcPr>
            <w:tcW w:type="dxa" w:w="2608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Aspetto</w:t>
            </w:r>
          </w:p>
        </w:tc>
        <w:tc>
          <w:tcPr>
            <w:tcW w:type="dxa" w:w="3353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Nel prototipo</w:t>
            </w:r>
          </w:p>
        </w:tc>
        <w:tc>
          <w:tcPr>
            <w:tcW w:type="dxa" w:w="3353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In produzione (</w:t>
            </w:r>
            <w:r>
              <w:rPr>
                <w:rFonts w:ascii="Consolas" w:cs="Consolas" w:eastAsia="Consolas" w:hAnsi="Consolas"/>
                <w:b/>
                <w:bCs/>
                <w:color w:val="C4661A"/>
                <w:sz w:val="19"/>
                <w:szCs w:val="19"/>
              </w:rPr>
              <w:t xml:space="preserve">BACKEND.md</w:t>
            </w:r>
            <w:r>
              <w:rPr>
                <w:b/>
                <w:bCs/>
                <w:color w:val="1E2748"/>
              </w:rPr>
              <w:t xml:space="preserve">)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Identificazione dal link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Hash non firmato, valido sul dispositivo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Token firmato e a scadenza</w:t>
            </w:r>
            <w:r>
              <w:rPr>
                <w:color w:val="18203A"/>
              </w:rPr>
              <w:t xml:space="preserve">, verificato dal server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Autorizzazione</w:t>
            </w:r>
          </w:p>
        </w:tc>
        <w:tc>
          <w:tcPr>
            <w:tcW w:type="dxa" w:w="3353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Verifica dei permessi prima di aprire il contenuto</w:t>
            </w:r>
          </w:p>
        </w:tc>
        <w:tc>
          <w:tcPr>
            <w:tcW w:type="dxa" w:w="3353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Stesse regole applicate lato server (RLS)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Riservatezza tra fornitori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Filtri di visibilità + un destinatario per email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Row Level Security per </w:t>
            </w:r>
            <w:r>
              <w:rPr>
                <w:rFonts w:ascii="Consolas" w:cs="Consolas" w:eastAsia="Consolas" w:hAnsi="Consolas"/>
                <w:color w:val="C4661A"/>
                <w:sz w:val="19"/>
                <w:szCs w:val="19"/>
              </w:rPr>
              <w:t xml:space="preserve">supplier_id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Soglia di approvazione degli extra</w:t>
            </w:r>
          </w:p>
        </w:tc>
        <w:tc>
          <w:tcPr>
            <w:tcW w:type="dxa" w:w="3353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Applicata anche alla chiamata diretta</w:t>
            </w:r>
          </w:p>
        </w:tc>
        <w:tc>
          <w:tcPr>
            <w:tcW w:type="dxa" w:w="3353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Da imporre lato server</w:t>
            </w:r>
            <w:r>
              <w:rPr>
                <w:color w:val="18203A"/>
              </w:rPr>
              <w:t xml:space="preserve">: decide di denaro</w:t>
            </w:r>
          </w:p>
        </w:tc>
      </w:tr>
    </w:tbl>
    <w:p>
      <w:pPr>
        <w:spacing w:after="200"/>
      </w:pPr>
    </w:p>
    <w:p>
      <w:pPr>
        <w:pBdr>
          <w:left w:val="single" w:color="C4661A" w:sz="12" w:space="10"/>
        </w:pBdr>
        <w:spacing w:after="200" w:line="288"/>
        <w:ind w:left="260"/>
      </w:pPr>
      <w:r>
        <w:rPr>
          <w:i/>
          <w:iCs/>
          <w:color w:val="525A72"/>
        </w:rPr>
        <w:t xml:space="preserve">Principio guida: il client applica i controlli per dare un'esperienza corretta, ma in produzione </w:t>
      </w:r>
      <w:r>
        <w:rPr>
          <w:b/>
          <w:bCs/>
          <w:i/>
          <w:iCs/>
          <w:color w:val="525A72"/>
        </w:rPr>
        <w:t xml:space="preserve">ogni regola che protegge dati o denaro va riapplicata sul server</w:t>
      </w:r>
      <w:r>
        <w:rPr>
          <w:i/>
          <w:iCs/>
          <w:color w:val="525A72"/>
        </w:rPr>
        <w:t xml:space="preserve">. I controlli lato browser sono un aiuto all'utente, non una difesa.</w:t>
      </w:r>
    </w:p>
    <w:p>
      <w:pPr>
        <w:pStyle w:val="Heading2"/>
        <w:spacing w:after="120" w:before="240"/>
      </w:pPr>
      <w:r>
        <w:t xml:space="preserve">4.6 Qualità: come si verifica che funzioni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3167"/>
        <w:gridCol w:w="6147"/>
      </w:tblGrid>
      <w:tr>
        <w:trPr>
          <w:tblHeader/>
        </w:trPr>
        <w:tc>
          <w:tcPr>
            <w:tcW w:type="dxa" w:w="316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Livello</w:t>
            </w:r>
          </w:p>
        </w:tc>
        <w:tc>
          <w:tcPr>
            <w:tcW w:type="dxa" w:w="614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Copertura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Test di modello</w:t>
            </w:r>
            <w:r>
              <w:rPr>
                <w:color w:val="18203A"/>
              </w:rPr>
              <w:t xml:space="preserve"> (73)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Date e alert, metriche, capacità, matching ottimo, flusso massimo e taglio minimo, invarianti del grafo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Test di sincronizzazione</w:t>
            </w:r>
            <w:r>
              <w:rPr>
                <w:color w:val="18203A"/>
              </w:rPr>
              <w:t xml:space="preserve"> (6)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Contratto del seam remoto (pull/push, versioni)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Audit automatici</w:t>
            </w:r>
            <w:r>
              <w:rPr>
                <w:color w:val="18203A"/>
              </w:rPr>
              <w:t xml:space="preserve"> (3 passate)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Percorso completo di tutti i ruoli su ogni schermata (desktop e mobile), riservatezza, invarianti, persistenza, coerenza dei numeri, casi limite dei link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Prove end-to-end</w:t>
            </w:r>
            <w:r>
              <w:rPr>
                <w:color w:val="18203A"/>
              </w:rPr>
              <w:t xml:space="preserve"> (18 scenari)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Ciclo di vita, extra, magic link, richieste con foto, approvazioni, carico, analisi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Controlli strutturali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Nessuna funzione vuota, nessun pulsante privo di effetto, nessun gestore orfano, nessuna emoji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t xml:space="preserve">Gli audit hanno individuato e fatto correggere difetti reali — tra cui una </w:t>
      </w:r>
      <w:r>
        <w:rPr>
          <w:b/>
          <w:bCs/>
        </w:rPr>
        <w:t xml:space="preserve">fuga di riservatezza</w:t>
      </w:r>
      <w:r>
        <w:t xml:space="preserve"> (un fornitore poteva aprire con il link la commessa di un altro conoscendone il codice) e due stati del ciclo di vita </w:t>
      </w:r>
      <w:r>
        <w:rPr>
          <w:b/>
          <w:bCs/>
        </w:rPr>
        <w:t xml:space="preserve">irraggiungibili</w:t>
      </w:r>
      <w:r>
        <w:t xml:space="preserve">. Le segnalazioni rivelatesi errate sono state verificate una per una e i test difettosi corretti, per non lasciare falsi allarmi.</w:t>
      </w:r>
    </w:p>
    <w:p>
      <w:pPr>
        <w:pStyle w:val="Heading2"/>
        <w:spacing w:after="120" w:before="240"/>
      </w:pPr>
      <w:r>
        <w:t xml:space="preserve">4.7 Distribuzione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2608"/>
        <w:gridCol w:w="3353"/>
        <w:gridCol w:w="3353"/>
      </w:tblGrid>
      <w:tr>
        <w:trPr>
          <w:tblHeader/>
        </w:trPr>
        <w:tc>
          <w:tcPr>
            <w:tcW w:type="dxa" w:w="2608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Forma</w:t>
            </w:r>
          </w:p>
        </w:tc>
        <w:tc>
          <w:tcPr>
            <w:tcW w:type="dxa" w:w="3353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Uso</w:t>
            </w:r>
          </w:p>
        </w:tc>
        <w:tc>
          <w:tcPr>
            <w:tcW w:type="dxa" w:w="3353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Nota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rFonts w:ascii="Consolas" w:cs="Consolas" w:eastAsia="Consolas" w:hAnsi="Consolas"/>
                <w:color w:val="C4661A"/>
                <w:sz w:val="19"/>
                <w:szCs w:val="19"/>
              </w:rPr>
              <w:t xml:space="preserve">index.html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Sviluppo e installazione come sito/PWA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Sorgente unico di verità</w:t>
            </w:r>
          </w:p>
        </w:tc>
      </w:tr>
      <w:tr>
        <w:tc>
          <w:tcPr>
            <w:tcW w:type="dxa" w:w="2608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rFonts w:ascii="Consolas" w:cs="Consolas" w:eastAsia="Consolas" w:hAnsi="Consolas"/>
                <w:color w:val="C4661A"/>
                <w:sz w:val="19"/>
                <w:szCs w:val="19"/>
              </w:rPr>
              <w:t xml:space="preserve">Portale_Fornitori_Righi.html</w:t>
            </w:r>
          </w:p>
        </w:tc>
        <w:tc>
          <w:tcPr>
            <w:tcW w:type="dxa" w:w="3353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Prova offline su qualsiasi PC</w:t>
            </w:r>
          </w:p>
        </w:tc>
        <w:tc>
          <w:tcPr>
            <w:tcW w:type="dxa" w:w="3353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File autosufficiente: </w:t>
            </w:r>
            <w:r>
              <w:rPr>
                <w:b/>
                <w:bCs/>
                <w:color w:val="18203A"/>
              </w:rPr>
              <w:t xml:space="preserve">è una fotografia</w:t>
            </w:r>
            <w:r>
              <w:rPr>
                <w:color w:val="18203A"/>
              </w:rPr>
              <w:t xml:space="preserve">, va rigenerato a ogni modifica</w:t>
            </w:r>
          </w:p>
        </w:tc>
      </w:tr>
      <w:tr>
        <w:tc>
          <w:tcPr>
            <w:tcW w:type="dxa" w:w="260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Versione online (artifact)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Condivisione e prova dei link</w:t>
            </w:r>
          </w:p>
        </w:tc>
        <w:tc>
          <w:tcPr>
            <w:tcW w:type="dxa" w:w="33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Unica forma in cui i magic link sono realmente cliccabili</w:t>
            </w:r>
          </w:p>
        </w:tc>
      </w:tr>
    </w:tbl>
    <w:p>
      <w:pPr>
        <w:spacing w:after="200"/>
      </w:pPr>
    </w:p>
    <w:p>
      <w:pPr>
        <w:pStyle w:val="Heading1"/>
        <w:pageBreakBefore/>
        <w:pBdr>
          <w:bottom w:val="single" w:color="C4661A" w:sz="6" w:space="6"/>
        </w:pBdr>
        <w:spacing w:after="120" w:before="320"/>
      </w:pPr>
      <w:r>
        <w:t xml:space="preserve">5. Evoluzione</w:t>
      </w:r>
    </w:p>
    <w:p>
      <w:pPr>
        <w:spacing w:after="140" w:line="288"/>
      </w:pPr>
      <w:r>
        <w:rPr>
          <w:b/>
          <w:bCs/>
        </w:rPr>
        <w:t xml:space="preserve">Già realizzato</w:t>
      </w:r>
      <w:r>
        <w:t xml:space="preserve">: richieste con foto, risposte rapide, avviso automatico via email con link diretto, auto-matching, duplicazione come modello, firma leggera, assegnazione ottima, lettura del collo di bottiglia, gestione degli extra.</w:t>
      </w:r>
    </w:p>
    <w:p>
      <w:pPr>
        <w:spacing w:after="140" w:line="288"/>
      </w:pPr>
      <w:r>
        <w:rPr>
          <w:b/>
          <w:bCs/>
        </w:rPr>
        <w:t xml:space="preserve">Prossimi passi</w:t>
      </w:r>
      <w:r>
        <w:t xml:space="preserve"> (richiedono il server, dettagliati in </w:t>
      </w:r>
      <w:r>
        <w:rPr>
          <w:rFonts w:ascii="Consolas" w:cs="Consolas" w:eastAsia="Consolas" w:hAnsi="Consolas"/>
          <w:color w:val="C4661A"/>
          <w:sz w:val="19"/>
          <w:szCs w:val="19"/>
        </w:rPr>
        <w:t xml:space="preserve">BACKEND.md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Invio realmente automatico</w:t>
      </w:r>
      <w:r>
        <w:t xml:space="preserve"> delle email, con token firmato per destinatario.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Notifiche push e WhatsApp</w:t>
      </w:r>
      <w:r>
        <w:t xml:space="preserve"> con opt-in: l'avviso dove il fornitore già lavora.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Risposta dall'email</w:t>
      </w:r>
      <w:r>
        <w:t xml:space="preserve"> con parsing in ingresso: anche chi risponde alla mail invece di cliccare rientra nel thread del portale.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Countdown di assegnazione</w:t>
      </w:r>
      <w:r>
        <w:t xml:space="preserve"> e </w:t>
      </w:r>
      <w:r>
        <w:rPr>
          <w:b/>
          <w:bCs/>
        </w:rPr>
        <w:t xml:space="preserve">riassegnazione assistita</w:t>
      </w:r>
      <w:r>
        <w:t xml:space="preserve"> in caso di rinuncia.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Integrazione ERP e layout di progettazione</w:t>
      </w:r>
      <w:r>
        <w:t xml:space="preserve"> per quotare sul dato reale.</w:t>
      </w:r>
    </w:p>
    <w:p>
      <w:pPr>
        <w:spacing w:after="120"/>
      </w:pPr>
    </w:p>
    <w:p>
      <w:pPr>
        <w:pStyle w:val="Heading1"/>
        <w:pageBreakBefore/>
        <w:pBdr>
          <w:bottom w:val="single" w:color="C4661A" w:sz="6" w:space="6"/>
        </w:pBdr>
        <w:spacing w:after="120" w:before="320"/>
      </w:pPr>
      <w:r>
        <w:t xml:space="preserve">6. Glossario</w:t>
      </w:r>
    </w:p>
    <w:tbl>
      <w:tblPr>
        <w:tblW w:type="dxa" w:w="9314"/>
        <w:tblBorders>
          <w:top w:val="single" w:color="DCDFE7" w:sz="2"/>
          <w:left w:val="single" w:color="DCDFE7" w:sz="2"/>
          <w:bottom w:val="single" w:color="DCDFE7" w:sz="2"/>
          <w:right w:val="single" w:color="DCDFE7" w:sz="2"/>
          <w:insideH w:val="single" w:color="DCDFE7" w:sz="2"/>
          <w:insideV w:val="single" w:color="DCDFE7" w:sz="2"/>
        </w:tblBorders>
      </w:tblPr>
      <w:tblGrid>
        <w:gridCol w:w="3167"/>
        <w:gridCol w:w="6147"/>
      </w:tblGrid>
      <w:tr>
        <w:trPr>
          <w:tblHeader/>
        </w:trPr>
        <w:tc>
          <w:tcPr>
            <w:tcW w:type="dxa" w:w="316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Termine</w:t>
            </w:r>
          </w:p>
        </w:tc>
        <w:tc>
          <w:tcPr>
            <w:tcW w:type="dxa" w:w="6147"/>
            <w:shd w:fill="E8EA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E2748"/>
              </w:rPr>
              <w:t xml:space="preserve">Significato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Commessa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Singolo lavoro affidato a un fornitore (un quadro o una batteria)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OTL / Caposquadra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Referente tecnico Righi che segue la commessa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Rientro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Riconsegna del quadro finito a Righi: la scadenza che conta per il fornitore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Extra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Lavorazione in più rispetto a quanto concordato all'accettazione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Magic link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Collegamento nell'email che apre il portale già identificati sulla pagina giusta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Ingombro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Dimensione massima del quadro che il fornitore può lavorare e movimentare</w:t>
            </w:r>
          </w:p>
        </w:tc>
      </w:tr>
      <w:tr>
        <w:tc>
          <w:tcPr>
            <w:tcW w:type="dxa" w:w="31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Saturazione</w:t>
            </w:r>
          </w:p>
        </w:tc>
        <w:tc>
          <w:tcPr>
            <w:tcW w:type="dxa" w:w="614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Rapporto tra ore assegnate e capacità mensile del fornitore</w:t>
            </w:r>
          </w:p>
        </w:tc>
      </w:tr>
      <w:tr>
        <w:tc>
          <w:tcPr>
            <w:tcW w:type="dxa" w:w="316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b/>
                <w:bCs/>
                <w:color w:val="18203A"/>
              </w:rPr>
              <w:t xml:space="preserve">Gate di consegna</w:t>
            </w:r>
          </w:p>
        </w:tc>
        <w:tc>
          <w:tcPr>
            <w:tcW w:type="dxa" w:w="6147"/>
            <w:shd w:fill="F5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  <w:jc w:val="left"/>
            </w:pPr>
            <w:r>
              <w:rPr>
                <w:color w:val="18203A"/>
              </w:rPr>
              <w:t xml:space="preserve">Vincolo per cui il fornitore non può consegnare senza autorizzazione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199"/>
        <w:sz w:val="16"/>
        <w:szCs w:val="16"/>
      </w:rPr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DFE7" w:sz="4" w:space="6"/>
      </w:pBdr>
      <w:spacing w:after="120"/>
      <w:jc w:val="right"/>
    </w:pPr>
    <w:r>
      <w:rPr>
        <w:color w:val="7A8199"/>
        <w:sz w:val="16"/>
        <w:szCs w:val="16"/>
      </w:rPr>
      <w:t xml:space="preserve">Portale Fornitori Righi — Specifiche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203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E2748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E2748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525A72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fd3bd16998de7026e8c38d2391c52e6e24607cd.png"/><Relationship Id="rId10" Type="http://schemas.openxmlformats.org/officeDocument/2006/relationships/image" Target="media/c8e9cfeac98066f648bed984399882f395458546.png"/><Relationship Id="rId11" Type="http://schemas.openxmlformats.org/officeDocument/2006/relationships/image" Target="media/57ec6153a295fe47b4aab416b893f68d67673bb6.png"/><Relationship Id="rId12" Type="http://schemas.openxmlformats.org/officeDocument/2006/relationships/image" Target="media/3934fe66b023d4a7ab60bfe128e1dd9f3b3b76d8.png"/><Relationship Id="rId13" Type="http://schemas.openxmlformats.org/officeDocument/2006/relationships/image" Target="media/d470569e7c92bff238487b6791a0575b15e70840.png"/><Relationship Id="rId14" Type="http://schemas.openxmlformats.org/officeDocument/2006/relationships/image" Target="media/d23c8519ea4db0877cd8440b1f9d403c42346e71.png"/><Relationship Id="rId15" Type="http://schemas.openxmlformats.org/officeDocument/2006/relationships/image" Target="media/ca929e0c9f297864e1466ecea4e0625e1d4f4417.png"/><Relationship Id="rId16" Type="http://schemas.openxmlformats.org/officeDocument/2006/relationships/image" Target="media/4ce3e2e7653ed549d702d27fcf76caaf54063271.png"/><Relationship Id="rId17" Type="http://schemas.openxmlformats.org/officeDocument/2006/relationships/image" Target="media/03939727b5a1abd99157b96438f6ce68b9eadbf9.png"/><Relationship Id="rId18" Type="http://schemas.openxmlformats.org/officeDocument/2006/relationships/image" Target="media/90e12b36e295f6715111d3a0ba26697e449c7b30.png"/><Relationship Id="rId19" Type="http://schemas.openxmlformats.org/officeDocument/2006/relationships/image" Target="media/9630111186631b6f1b9cc4ab1c8b217db25d42fd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Portale Fornitori — Specifiche</dc:title>
  <dc:creator>Righi Solutions</dc:creator>
  <dc:description>Specifiche funzionali, organizzative e tecniche</dc:description>
  <cp:lastModifiedBy>Un-named</cp:lastModifiedBy>
  <cp:revision>1</cp:revision>
  <dcterms:created xsi:type="dcterms:W3CDTF">2026-08-03T15:38:44.255Z</dcterms:created>
  <dcterms:modified xsi:type="dcterms:W3CDTF">2026-08-03T15:38:44.255Z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