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C4661A"/>
          <w:spacing w:val="60"/>
          <w:sz w:val="22"/>
          <w:szCs w:val="22"/>
        </w:rPr>
        <w:t xml:space="preserve">RIGHI SOLUTIONS</w:t>
      </w:r>
    </w:p>
    <w:p>
      <w:pPr>
        <w:spacing w:after="0" w:before="200"/>
      </w:pPr>
      <w:r>
        <w:rPr>
          <w:b/>
          <w:bCs/>
          <w:color w:val="1E2748"/>
          <w:sz w:val="60"/>
          <w:szCs w:val="60"/>
        </w:rPr>
        <w:t xml:space="preserve">Portale Fornitori</w:t>
      </w:r>
    </w:p>
    <w:p>
      <w:pPr>
        <w:pBdr>
          <w:bottom w:val="single" w:color="C4661A" w:sz="12" w:space="12"/>
        </w:pBdr>
        <w:spacing w:after="400" w:before="80"/>
      </w:pPr>
      <w:r>
        <w:rPr>
          <w:color w:val="525A72"/>
          <w:sz w:val="32"/>
          <w:szCs w:val="32"/>
        </w:rPr>
        <w:t xml:space="preserve">Specifiche funzionali, organizzative e tecniche</w:t>
      </w:r>
    </w:p>
    <w:p>
      <w:pPr>
        <w:spacing w:after="100" w:before="300"/>
      </w:pPr>
      <w:r>
        <w:rPr>
          <w:color w:val="18203A"/>
          <w:sz w:val="22"/>
          <w:szCs w:val="22"/>
        </w:rPr>
        <w:t xml:space="preserve">Subappalto di manodopera per il cablaggio e la costruzione di quadri elettrici</w:t>
      </w:r>
    </w:p>
    <w:p>
      <w:pPr>
        <w:spacing w:after="60"/>
      </w:pPr>
      <w:r>
        <w:rPr>
          <w:i/>
          <w:iCs/>
          <w:color w:val="7A8199"/>
          <w:sz w:val="20"/>
          <w:szCs w:val="20"/>
        </w:rPr>
        <w:t xml:space="preserve">Documento redatto sul codice sorgente dell'applicazione</w:t>
      </w:r>
    </w:p>
    <w:p>
      <w:pPr>
        <w:spacing w:before="1400"/>
      </w:pPr>
      <w:r>
        <w:rPr>
          <w:color w:val="525A72"/>
          <w:sz w:val="20"/>
          <w:szCs w:val="20"/>
        </w:rPr>
        <w:t xml:space="preserve">04 agosto 2026</w:t>
      </w:r>
    </w:p>
    <w:p>
      <w:r>
        <w:br w:type="page"/>
      </w:r>
    </w:p>
    <w:p>
      <w:pPr>
        <w:pStyle w:val="Heading1"/>
        <w:spacing w:after="200"/>
      </w:pPr>
      <w:r>
        <w:t xml:space="preserve">Indice</w:t>
      </w:r>
    </w:p>
    <w:sdt>
      <w:sdtPr>
        <w:alias w:val="Indice"/>
      </w:sdtPr>
      <w:sdtContent>
        <w:p>
          <w:r>
            <w:fldChar w:fldCharType="begin" w:dirty="true"/>
            <w:instrText xml:space="preserve">TOC \h \o "1-3"</w:instrText>
            <w:fldChar w:fldCharType="separate"/>
          </w:r>
        </w:p>
        <w:p>
          <w:r>
            <w:fldChar w:fldCharType="end"/>
          </w:r>
        </w:p>
      </w:sdtContent>
    </w:sdt>
    <w:p>
      <w:pPr>
        <w:pBdr>
          <w:left w:val="single" w:color="C4661A" w:sz="12" w:space="10"/>
        </w:pBdr>
        <w:spacing w:after="200" w:line="288"/>
        <w:ind w:left="260"/>
      </w:pPr>
      <w:r>
        <w:rPr>
          <w:i/>
          <w:iCs/>
          <w:color w:val="525A72"/>
        </w:rPr>
        <w:t xml:space="preserve">Documento unico di riferimento. Descrive </w:t>
      </w:r>
      <w:r>
        <w:rPr>
          <w:b/>
          <w:bCs/>
          <w:i/>
          <w:iCs/>
          <w:color w:val="525A72"/>
        </w:rPr>
        <w:t xml:space="preserve">cosa fa</w:t>
      </w:r>
      <w:r>
        <w:rPr>
          <w:i/>
          <w:iCs/>
          <w:color w:val="525A72"/>
        </w:rPr>
        <w:t xml:space="preserve"> il portale (funzionale), </w:t>
      </w:r>
      <w:r>
        <w:rPr>
          <w:b/>
          <w:bCs/>
          <w:i/>
          <w:iCs/>
          <w:color w:val="525A72"/>
        </w:rPr>
        <w:t xml:space="preserve">chi decide cosa</w:t>
      </w:r>
      <w:r>
        <w:rPr>
          <w:i/>
          <w:iCs/>
          <w:color w:val="525A72"/>
        </w:rPr>
        <w:t xml:space="preserve"> (organizzativo) e </w:t>
      </w:r>
      <w:r>
        <w:rPr>
          <w:b/>
          <w:bCs/>
          <w:i/>
          <w:iCs/>
          <w:color w:val="525A72"/>
        </w:rPr>
        <w:t xml:space="preserve">come è costruito</w:t>
      </w:r>
      <w:r>
        <w:rPr>
          <w:i/>
          <w:iCs/>
          <w:color w:val="525A72"/>
        </w:rPr>
        <w:t xml:space="preserve"> (tecnico). Redatto rileggendo il codice sorgente, non da memoria: ogni regola numerica citata qui corrisponde a una costante o a una funzione dell'applicazione.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
            </w:r>
          </w:p>
        </w:tc>
      </w:tr>
      <w:tr>
        <w:tc>
          <w:tcPr>
            <w:tcW w:type="dxa" w:w="3167"/>
            <w:tcMar>
              <w:top w:type="dxa" w:w="80"/>
              <w:left w:type="dxa" w:w="120"/>
              <w:bottom w:type="dxa" w:w="80"/>
              <w:right w:type="dxa" w:w="120"/>
            </w:tcMar>
          </w:tcPr>
          <w:p>
            <w:pPr>
              <w:spacing w:after="0" w:line="264"/>
              <w:jc w:val="left"/>
            </w:pPr>
            <w:r>
              <w:rPr>
                <w:b/>
                <w:bCs/>
                <w:color w:val="18203A"/>
              </w:rPr>
              <w:t xml:space="preserve">Prodotto</w:t>
            </w:r>
          </w:p>
        </w:tc>
        <w:tc>
          <w:tcPr>
            <w:tcW w:type="dxa" w:w="6147"/>
            <w:tcMar>
              <w:top w:type="dxa" w:w="80"/>
              <w:left w:type="dxa" w:w="120"/>
              <w:bottom w:type="dxa" w:w="80"/>
              <w:right w:type="dxa" w:w="120"/>
            </w:tcMar>
          </w:tcPr>
          <w:p>
            <w:pPr>
              <w:spacing w:after="0" w:line="264"/>
              <w:jc w:val="left"/>
            </w:pPr>
            <w:r>
              <w:rPr>
                <w:color w:val="18203A"/>
              </w:rPr>
              <w:t xml:space="preserve">Portale Fornitori · Righi Solutions</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Ambito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Subappalto di manodopera per cablaggio e costruzione di quadri elettrici</w:t>
            </w:r>
          </w:p>
        </w:tc>
      </w:tr>
      <w:tr>
        <w:tc>
          <w:tcPr>
            <w:tcW w:type="dxa" w:w="3167"/>
            <w:tcMar>
              <w:top w:type="dxa" w:w="80"/>
              <w:left w:type="dxa" w:w="120"/>
              <w:bottom w:type="dxa" w:w="80"/>
              <w:right w:type="dxa" w:w="120"/>
            </w:tcMar>
          </w:tcPr>
          <w:p>
            <w:pPr>
              <w:spacing w:after="0" w:line="264"/>
              <w:jc w:val="left"/>
            </w:pPr>
            <w:r>
              <w:rPr>
                <w:b/>
                <w:bCs/>
                <w:color w:val="18203A"/>
              </w:rPr>
              <w:t xml:space="preserve">Stato</w:t>
            </w:r>
          </w:p>
        </w:tc>
        <w:tc>
          <w:tcPr>
            <w:tcW w:type="dxa" w:w="6147"/>
            <w:tcMar>
              <w:top w:type="dxa" w:w="80"/>
              <w:left w:type="dxa" w:w="120"/>
              <w:bottom w:type="dxa" w:w="80"/>
              <w:right w:type="dxa" w:w="120"/>
            </w:tcMar>
          </w:tcPr>
          <w:p>
            <w:pPr>
              <w:spacing w:after="0" w:line="264"/>
              <w:jc w:val="left"/>
            </w:pPr>
            <w:r>
              <w:rPr>
                <w:color w:val="18203A"/>
              </w:rPr>
              <w:t xml:space="preserve">Prototipo funzionante (offline-first), pronto per la validazione con utenti reali</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Documenti collegati</w:t>
            </w:r>
          </w:p>
        </w:tc>
        <w:tc>
          <w:tcPr>
            <w:tcW w:type="dxa" w:w="6147"/>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LEGGIMI.md</w:t>
            </w:r>
            <w:r>
              <w:rPr>
                <w:color w:val="18203A"/>
              </w:rPr>
              <w:t xml:space="preserve"> uso · </w:t>
            </w:r>
            <w:r>
              <w:rPr>
                <w:rFonts w:ascii="Consolas" w:cs="Consolas" w:eastAsia="Consolas" w:hAnsi="Consolas"/>
                <w:color w:val="C4661A"/>
                <w:sz w:val="19"/>
                <w:szCs w:val="19"/>
              </w:rPr>
              <w:t xml:space="preserve">PIANO_PRODOTTO.md</w:t>
            </w:r>
            <w:r>
              <w:rPr>
                <w:color w:val="18203A"/>
              </w:rPr>
              <w:t xml:space="preserve"> visione · </w:t>
            </w:r>
            <w:r>
              <w:rPr>
                <w:rFonts w:ascii="Consolas" w:cs="Consolas" w:eastAsia="Consolas" w:hAnsi="Consolas"/>
                <w:color w:val="C4661A"/>
                <w:sz w:val="19"/>
                <w:szCs w:val="19"/>
              </w:rPr>
              <w:t xml:space="preserve">BACKEND.md</w:t>
            </w:r>
            <w:r>
              <w:rPr>
                <w:color w:val="18203A"/>
              </w:rPr>
              <w:t xml:space="preserve"> contratto server</w:t>
            </w:r>
          </w:p>
        </w:tc>
      </w:tr>
    </w:tbl>
    <w:p>
      <w:pPr>
        <w:spacing w:after="200"/>
      </w:pPr>
    </w:p>
    <w:p>
      <w:pPr>
        <w:pStyle w:val="Heading1"/>
        <w:pageBreakBefore/>
        <w:pBdr>
          <w:bottom w:val="single" w:color="C4661A" w:sz="6" w:space="6"/>
        </w:pBdr>
        <w:spacing w:after="120" w:before="320"/>
      </w:pPr>
      <w:r>
        <w:t xml:space="preserve">1. Scopo e posizionamento</w:t>
      </w:r>
    </w:p>
    <w:p>
      <w:pPr>
        <w:spacing w:after="140" w:line="288"/>
      </w:pPr>
      <w:r>
        <w:t xml:space="preserve">Righi affida a fornitori esterni il </w:t>
      </w:r>
      <w:r>
        <w:rPr>
          <w:b/>
          <w:bCs/>
        </w:rPr>
        <w:t xml:space="preserve">cablaggio e la costruzione di quadri elettrici</w:t>
      </w:r>
      <w:r>
        <w:t xml:space="preserve">. Ogni affidamento è una piccola commessa a sé, che si esaurisce in </w:t>
      </w:r>
      <w:r>
        <w:rPr>
          <w:b/>
          <w:bCs/>
        </w:rPr>
        <w:t xml:space="preserve">3–5 settimane</w:t>
      </w:r>
      <w:r>
        <w:t xml:space="preserve">: non c'è un catalogo da ordinare, c'è un </w:t>
      </w:r>
      <w:r>
        <w:rPr>
          <w:b/>
          <w:bCs/>
        </w:rPr>
        <w:t xml:space="preserve">layout da quotare</w:t>
      </w:r>
      <w:r>
        <w:t xml:space="preserve">, una </w:t>
      </w:r>
      <w:r>
        <w:rPr>
          <w:b/>
          <w:bCs/>
        </w:rPr>
        <w:t xml:space="preserve">data di riconsegna</w:t>
      </w:r>
      <w:r>
        <w:t xml:space="preserve"> e un </w:t>
      </w:r>
      <w:r>
        <w:rPr>
          <w:b/>
          <w:bCs/>
        </w:rPr>
        <w:t xml:space="preserve">caposquadra</w:t>
      </w:r>
      <w:r>
        <w:t xml:space="preserve"> che segue il lavoro.</w:t>
      </w:r>
    </w:p>
    <w:p>
      <w:pPr>
        <w:spacing w:after="140" w:line="288"/>
      </w:pPr>
      <w:r>
        <w:t xml:space="preserve">Questo non è un portale di qualifica fornitori né di approvvigionamento materiali. È un portale di </w:t>
      </w:r>
      <w:r>
        <w:rPr>
          <w:b/>
          <w:bCs/>
        </w:rPr>
        <w:t xml:space="preserve">delega di lavori a progetto</w:t>
      </w:r>
      <w:r>
        <w:t xml:space="preserve">, costruito su due principi che governano ogni scelta di design:</w:t>
      </w:r>
    </w:p>
    <w:p>
      <w:pPr>
        <w:pStyle w:val="ListParagraph"/>
        <w:numPr>
          <w:ilvl w:val="0"/>
          <w:numId w:val="2"/>
        </w:numPr>
        <w:spacing w:after="80" w:line="288"/>
      </w:pPr>
      <w:r>
        <w:rPr>
          <w:b/>
          <w:bCs/>
        </w:rPr>
        <w:t xml:space="preserve">Ridurre il testo scritto</w:t>
      </w:r>
      <w:r>
        <w:t xml:space="preserve"> — input guidati (pulsanti, elenchi, modelli di risposta) al posto dei campi liberi, su entrambi i lati.</w:t>
      </w:r>
    </w:p>
    <w:p>
      <w:pPr>
        <w:pStyle w:val="ListParagraph"/>
        <w:numPr>
          <w:ilvl w:val="0"/>
          <w:numId w:val="2"/>
        </w:numPr>
        <w:spacing w:after="80" w:line="288"/>
      </w:pPr>
      <w:r>
        <w:rPr>
          <w:b/>
          <w:bCs/>
        </w:rPr>
        <w:t xml:space="preserve">Accelerare l'assegnazione</w:t>
      </w:r>
      <w:r>
        <w:t xml:space="preserve"> — dalla proposta all'affidamento in pochi tocchi, con la comunicazione tecnica incanalata in una prassi prevedibile.</w:t>
      </w:r>
    </w:p>
    <w:p>
      <w:pPr>
        <w:spacing w:after="120"/>
      </w:pPr>
    </w:p>
    <w:p>
      <w:pPr>
        <w:spacing w:after="140" w:line="288"/>
      </w:pPr>
      <w:r>
        <w:t xml:space="preserve">Ne discende un terzo principio, emerso lavorando: </w:t>
      </w:r>
      <w:r>
        <w:rPr>
          <w:b/>
          <w:bCs/>
        </w:rPr>
        <w:t xml:space="preserve">nessun passaggio silenzioso</w:t>
      </w:r>
      <w:r>
        <w:t xml:space="preserve">. Ogni decisione che riguarda l'altra parte produce una notifica </w:t>
      </w:r>
      <w:r>
        <w:rPr>
          <w:i/>
          <w:iCs/>
        </w:rPr>
        <w:t xml:space="preserve">e</w:t>
      </w:r>
      <w:r>
        <w:t xml:space="preserve"> un avviso via email; ogni rifiuto è motivato; ogni stato ha qualcuno che lo fa scattare.</w:t>
      </w:r>
    </w:p>
    <w:p>
      <w:pPr>
        <w:pStyle w:val="Heading1"/>
        <w:pageBreakBefore/>
        <w:pBdr>
          <w:bottom w:val="single" w:color="C4661A" w:sz="6" w:space="6"/>
        </w:pBdr>
        <w:spacing w:after="120" w:before="320"/>
      </w:pPr>
      <w:r>
        <w:t xml:space="preserve">2. Attori e organizzazione</w:t>
      </w:r>
    </w:p>
    <w:p>
      <w:pPr>
        <w:pStyle w:val="Heading2"/>
        <w:spacing w:after="120" w:before="240"/>
      </w:pPr>
      <w:r>
        <w:t xml:space="preserve">2.1 I tre ruoli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Ruolo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Chi è</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Responsabilità nel portale</w:t>
            </w:r>
          </w:p>
        </w:tc>
      </w:tr>
      <w:tr>
        <w:tc>
          <w:tcPr>
            <w:tcW w:type="dxa" w:w="2608"/>
            <w:tcMar>
              <w:top w:type="dxa" w:w="80"/>
              <w:left w:type="dxa" w:w="120"/>
              <w:bottom w:type="dxa" w:w="80"/>
              <w:right w:type="dxa" w:w="120"/>
            </w:tcMar>
          </w:tcPr>
          <w:p>
            <w:pPr>
              <w:spacing w:after="0" w:line="264"/>
              <w:jc w:val="left"/>
            </w:pPr>
            <w:r>
              <w:rPr>
                <w:b/>
                <w:bCs/>
                <w:color w:val="18203A"/>
              </w:rPr>
              <w:t xml:space="preserve">Responsabile di produzione</w:t>
            </w:r>
          </w:p>
        </w:tc>
        <w:tc>
          <w:tcPr>
            <w:tcW w:type="dxa" w:w="3353"/>
            <w:tcMar>
              <w:top w:type="dxa" w:w="80"/>
              <w:left w:type="dxa" w:w="120"/>
              <w:bottom w:type="dxa" w:w="80"/>
              <w:right w:type="dxa" w:w="120"/>
            </w:tcMar>
          </w:tcPr>
          <w:p>
            <w:pPr>
              <w:spacing w:after="0" w:line="264"/>
              <w:jc w:val="left"/>
            </w:pPr>
            <w:r>
              <w:rPr>
                <w:color w:val="18203A"/>
              </w:rPr>
              <w:t xml:space="preserve">Ufficio subappalti Righi</w:t>
            </w:r>
          </w:p>
        </w:tc>
        <w:tc>
          <w:tcPr>
            <w:tcW w:type="dxa" w:w="3353"/>
            <w:tcMar>
              <w:top w:type="dxa" w:w="80"/>
              <w:left w:type="dxa" w:w="120"/>
              <w:bottom w:type="dxa" w:w="80"/>
              <w:right w:type="dxa" w:w="120"/>
            </w:tcMar>
          </w:tcPr>
          <w:p>
            <w:pPr>
              <w:spacing w:after="0" w:line="264"/>
              <w:jc w:val="left"/>
            </w:pPr>
            <w:r>
              <w:rPr>
                <w:color w:val="18203A"/>
              </w:rPr>
              <w:t xml:space="preserve">Vede </w:t>
            </w:r>
            <w:r>
              <w:rPr>
                <w:b/>
                <w:bCs/>
                <w:color w:val="18203A"/>
              </w:rPr>
              <w:t xml:space="preserve">tutte</w:t>
            </w:r>
            <w:r>
              <w:rPr>
                <w:color w:val="18203A"/>
              </w:rPr>
              <w:t xml:space="preserve"> le commesse. Pubblica, assegna, importa/esporta, governa il carico dei fornitori, </w:t>
            </w:r>
            <w:r>
              <w:rPr>
                <w:b/>
                <w:bCs/>
                <w:color w:val="18203A"/>
              </w:rPr>
              <w:t xml:space="preserve">approva</w:t>
            </w:r>
            <w:r>
              <w:rPr>
                <w:color w:val="18203A"/>
              </w:rPr>
              <w:t xml:space="preserve"> le proposte dei capisquadra e gli </w:t>
            </w:r>
            <w:r>
              <w:rPr>
                <w:b/>
                <w:bCs/>
                <w:color w:val="18203A"/>
              </w:rPr>
              <w:t xml:space="preserve">extra oltre soglia</w:t>
            </w:r>
            <w:r>
              <w:rPr>
                <w:color w:val="18203A"/>
              </w:rPr>
              <w:t xml:space="preserve">. Unico che modifica l'anagrafica fornitori.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Caposquadra (OTL)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Referente tecnico della commessa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Vede </w:t>
            </w:r>
            <w:r>
              <w:rPr>
                <w:b/>
                <w:bCs/>
                <w:color w:val="18203A"/>
              </w:rPr>
              <w:t xml:space="preserve">solo le commesse che segue</w:t>
            </w:r>
            <w:r>
              <w:rPr>
                <w:color w:val="18203A"/>
              </w:rPr>
              <w:t xml:space="preserve">. Propone nuovi lavori (che il responsabile approva), gestisce le richieste dei suoi fornitori, approva slittamenti, consegne ed </w:t>
            </w:r>
            <w:r>
              <w:rPr>
                <w:b/>
                <w:bCs/>
                <w:color w:val="18203A"/>
              </w:rPr>
              <w:t xml:space="preserve">extra entro soglia</w:t>
            </w:r>
            <w:r>
              <w:rPr>
                <w:color w:val="18203A"/>
              </w:rPr>
              <w:t xml:space="preserve">.</w:t>
            </w:r>
          </w:p>
        </w:tc>
      </w:tr>
      <w:tr>
        <w:tc>
          <w:tcPr>
            <w:tcW w:type="dxa" w:w="2608"/>
            <w:tcMar>
              <w:top w:type="dxa" w:w="80"/>
              <w:left w:type="dxa" w:w="120"/>
              <w:bottom w:type="dxa" w:w="80"/>
              <w:right w:type="dxa" w:w="120"/>
            </w:tcMar>
          </w:tcPr>
          <w:p>
            <w:pPr>
              <w:spacing w:after="0" w:line="264"/>
              <w:jc w:val="left"/>
            </w:pPr>
            <w:r>
              <w:rPr>
                <w:b/>
                <w:bCs/>
                <w:color w:val="18203A"/>
              </w:rPr>
              <w:t xml:space="preserve">Fornitore</w:t>
            </w:r>
          </w:p>
        </w:tc>
        <w:tc>
          <w:tcPr>
            <w:tcW w:type="dxa" w:w="3353"/>
            <w:tcMar>
              <w:top w:type="dxa" w:w="80"/>
              <w:left w:type="dxa" w:w="120"/>
              <w:bottom w:type="dxa" w:w="80"/>
              <w:right w:type="dxa" w:w="120"/>
            </w:tcMar>
          </w:tcPr>
          <w:p>
            <w:pPr>
              <w:spacing w:after="0" w:line="264"/>
              <w:jc w:val="left"/>
            </w:pPr>
            <w:r>
              <w:rPr>
                <w:color w:val="18203A"/>
              </w:rPr>
              <w:t xml:space="preserve">Referente del terzo accreditato</w:t>
            </w:r>
          </w:p>
        </w:tc>
        <w:tc>
          <w:tcPr>
            <w:tcW w:type="dxa" w:w="3353"/>
            <w:tcMar>
              <w:top w:type="dxa" w:w="80"/>
              <w:left w:type="dxa" w:w="120"/>
              <w:bottom w:type="dxa" w:w="80"/>
              <w:right w:type="dxa" w:w="120"/>
            </w:tcMar>
          </w:tcPr>
          <w:p>
            <w:pPr>
              <w:spacing w:after="0" w:line="264"/>
              <w:jc w:val="left"/>
            </w:pPr>
            <w:r>
              <w:rPr>
                <w:color w:val="18203A"/>
              </w:rPr>
              <w:t xml:space="preserve">Vede le proposte a lui destinate e le proprie commesse. Quota, accetta con firma, aggiorna l'avanzamento, apre richieste guidate, chiede extra e l'autorizzazione a consegnare.</w:t>
            </w:r>
          </w:p>
        </w:tc>
      </w:tr>
    </w:tbl>
    <w:p>
      <w:pPr>
        <w:spacing w:after="200"/>
      </w:pPr>
    </w:p>
    <w:p>
      <w:pPr>
        <w:pStyle w:val="Heading2"/>
        <w:spacing w:after="120" w:before="240"/>
      </w:pPr>
      <w:r>
        <w:t xml:space="preserve">2.2 Matrice delle deleghe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Azione</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Responsabile</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Caposquadra</w:t>
            </w:r>
          </w:p>
        </w:tc>
        <w:tc>
          <w:tcPr>
            <w:tcW w:type="dxa" w:w="2236"/>
            <w:shd w:fill="E8EAF2" w:color="auto" w:val="clear"/>
            <w:tcMar>
              <w:top w:type="dxa" w:w="80"/>
              <w:left w:type="dxa" w:w="120"/>
              <w:bottom w:type="dxa" w:w="80"/>
              <w:right w:type="dxa" w:w="120"/>
            </w:tcMar>
          </w:tcPr>
          <w:p>
            <w:pPr>
              <w:spacing w:after="0" w:line="264"/>
              <w:jc w:val="center"/>
            </w:pPr>
            <w:r>
              <w:rPr>
                <w:b/>
                <w:bCs/>
                <w:color w:val="1E2748"/>
              </w:rPr>
              <w:t xml:space="preserve">Fornitore</w:t>
            </w:r>
          </w:p>
        </w:tc>
      </w:tr>
      <w:tr>
        <w:tc>
          <w:tcPr>
            <w:tcW w:type="dxa" w:w="2608"/>
            <w:tcMar>
              <w:top w:type="dxa" w:w="80"/>
              <w:left w:type="dxa" w:w="120"/>
              <w:bottom w:type="dxa" w:w="80"/>
              <w:right w:type="dxa" w:w="120"/>
            </w:tcMar>
          </w:tcPr>
          <w:p>
            <w:pPr>
              <w:spacing w:after="0" w:line="264"/>
              <w:jc w:val="left"/>
            </w:pPr>
            <w:r>
              <w:rPr>
                <w:color w:val="18203A"/>
              </w:rPr>
              <w:t xml:space="preserve">Creare una commessa</w:t>
            </w:r>
          </w:p>
        </w:tc>
        <w:tc>
          <w:tcPr>
            <w:tcW w:type="dxa" w:w="2235"/>
            <w:tcMar>
              <w:top w:type="dxa" w:w="80"/>
              <w:left w:type="dxa" w:w="120"/>
              <w:bottom w:type="dxa" w:w="80"/>
              <w:right w:type="dxa" w:w="120"/>
            </w:tcMar>
          </w:tcPr>
          <w:p>
            <w:pPr>
              <w:spacing w:after="0" w:line="264"/>
              <w:jc w:val="center"/>
            </w:pPr>
            <w:r>
              <w:rPr>
                <w:color w:val="18203A"/>
              </w:rPr>
              <w:t xml:space="preserve">✅ pubblica</w:t>
            </w:r>
          </w:p>
        </w:tc>
        <w:tc>
          <w:tcPr>
            <w:tcW w:type="dxa" w:w="2235"/>
            <w:tcMar>
              <w:top w:type="dxa" w:w="80"/>
              <w:left w:type="dxa" w:w="120"/>
              <w:bottom w:type="dxa" w:w="80"/>
              <w:right w:type="dxa" w:w="120"/>
            </w:tcMar>
          </w:tcPr>
          <w:p>
            <w:pPr>
              <w:spacing w:after="0" w:line="264"/>
              <w:jc w:val="center"/>
            </w:pPr>
            <w:r>
              <w:rPr>
                <w:color w:val="18203A"/>
              </w:rPr>
              <w:t xml:space="preserve">⚠️ propone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una proposta di commessa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Assegnare a un fornitore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Accettare una proposta (con firma)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Aggiornare l'avanzamento</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uno slittamento</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 10%</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&gt; 10%</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Autorizzare la consegna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Segnare consegnato</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Chiudere la pratica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Creare/modificare anagrafica fornitori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Registrare/verificare documenti di qualifica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Comunicare il rinnovo di un proprio documento</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center"/>
            </w:pPr>
            <w:r>
              <w:rPr>
                <w:color w:val="18203A"/>
              </w:rPr>
              <w:t xml:space="preserve">✅</w:t>
            </w:r>
          </w:p>
        </w:tc>
      </w:tr>
    </w:tbl>
    <w:p>
      <w:pPr>
        <w:spacing w:after="200"/>
      </w:pPr>
    </w:p>
    <w:p>
      <w:pPr>
        <w:pStyle w:val="Heading2"/>
        <w:spacing w:after="120" w:before="240"/>
      </w:pPr>
      <w:r>
        <w:t xml:space="preserve">2.3 Riservatezza: cosa non attraversa il confine</w:t>
      </w:r>
    </w:p>
    <w:p>
      <w:pPr>
        <w:spacing w:after="140" w:line="288"/>
      </w:pPr>
      <w:r>
        <w:t xml:space="preserve">Regola strutturale, non cosmetica: alcune informazioni </w:t>
      </w:r>
      <w:r>
        <w:rPr>
          <w:b/>
          <w:bCs/>
        </w:rPr>
        <w:t xml:space="preserve">non escono mai</w:t>
      </w:r>
      <w:r>
        <w:t xml:space="preserve"> verso il fornitore, perché riguardano la marginalità e la pianificazione interna di Righi.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Dato</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Righi</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Fornitore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Motivo</w:t>
            </w:r>
          </w:p>
        </w:tc>
      </w:tr>
      <w:tr>
        <w:tc>
          <w:tcPr>
            <w:tcW w:type="dxa" w:w="2608"/>
            <w:tcMar>
              <w:top w:type="dxa" w:w="80"/>
              <w:left w:type="dxa" w:w="120"/>
              <w:bottom w:type="dxa" w:w="80"/>
              <w:right w:type="dxa" w:w="120"/>
            </w:tcMar>
          </w:tcPr>
          <w:p>
            <w:pPr>
              <w:spacing w:after="0" w:line="264"/>
              <w:jc w:val="left"/>
            </w:pPr>
            <w:r>
              <w:rPr>
                <w:b/>
                <w:bCs/>
                <w:color w:val="18203A"/>
              </w:rPr>
              <w:t xml:space="preserve">Ore stimate</w:t>
            </w:r>
            <w:r>
              <w:rPr>
                <w:color w:val="18203A"/>
              </w:rPr>
              <w:t xml:space="preserve"> e ore degli extra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Base del costo interno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Capacità mensile e saturazione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Posizione negoziale</w:t>
            </w:r>
          </w:p>
        </w:tc>
      </w:tr>
      <w:tr>
        <w:tc>
          <w:tcPr>
            <w:tcW w:type="dxa" w:w="2608"/>
            <w:tcMar>
              <w:top w:type="dxa" w:w="80"/>
              <w:left w:type="dxa" w:w="120"/>
              <w:bottom w:type="dxa" w:w="80"/>
              <w:right w:type="dxa" w:w="120"/>
            </w:tcMar>
          </w:tcPr>
          <w:p>
            <w:pPr>
              <w:spacing w:after="0" w:line="264"/>
              <w:jc w:val="left"/>
            </w:pPr>
            <w:r>
              <w:rPr>
                <w:b/>
                <w:bCs/>
                <w:color w:val="18203A"/>
              </w:rPr>
              <w:t xml:space="preserve">Data di consegna al cliente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Margine di sicurezza di Righi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Importo</w:t>
            </w:r>
            <w:r>
              <w:rPr>
                <w:color w:val="18203A"/>
              </w:rPr>
              <w:t xml:space="preserve"> della commessa e degli extra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È il suo compenso</w:t>
            </w:r>
          </w:p>
        </w:tc>
      </w:tr>
      <w:tr>
        <w:tc>
          <w:tcPr>
            <w:tcW w:type="dxa" w:w="2608"/>
            <w:tcMar>
              <w:top w:type="dxa" w:w="80"/>
              <w:left w:type="dxa" w:w="120"/>
              <w:bottom w:type="dxa" w:w="80"/>
              <w:right w:type="dxa" w:w="120"/>
            </w:tcMar>
          </w:tcPr>
          <w:p>
            <w:pPr>
              <w:spacing w:after="0" w:line="264"/>
              <w:jc w:val="left"/>
            </w:pPr>
            <w:r>
              <w:rPr>
                <w:color w:val="18203A"/>
              </w:rPr>
              <w:t xml:space="preserve">Date </w:t>
            </w:r>
            <w:r>
              <w:rPr>
                <w:b/>
                <w:bCs/>
                <w:color w:val="18203A"/>
              </w:rPr>
              <w:t xml:space="preserve">inizio stimato</w:t>
            </w:r>
            <w:r>
              <w:rPr>
                <w:color w:val="18203A"/>
              </w:rPr>
              <w:t xml:space="preserve"> e </w:t>
            </w:r>
            <w:r>
              <w:rPr>
                <w:b/>
                <w:bCs/>
                <w:color w:val="18203A"/>
              </w:rPr>
              <w:t xml:space="preserve">rientro</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Sono i suoi impegni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Metriche</w:t>
            </w:r>
            <w:r>
              <w:rPr>
                <w:color w:val="18203A"/>
              </w:rPr>
              <w:t xml:space="preserve"> di prestazione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Identiche per entrambi, per costruzione</w:t>
            </w:r>
          </w:p>
        </w:tc>
      </w:tr>
      <w:tr>
        <w:tc>
          <w:tcPr>
            <w:tcW w:type="dxa" w:w="2608"/>
            <w:tcMar>
              <w:top w:type="dxa" w:w="80"/>
              <w:left w:type="dxa" w:w="120"/>
              <w:bottom w:type="dxa" w:w="80"/>
              <w:right w:type="dxa" w:w="120"/>
            </w:tcMar>
          </w:tcPr>
          <w:p>
            <w:pPr>
              <w:spacing w:after="0" w:line="264"/>
              <w:jc w:val="left"/>
            </w:pPr>
            <w:r>
              <w:rPr>
                <w:color w:val="18203A"/>
              </w:rPr>
              <w:t xml:space="preserve">Commesse </w:t>
            </w:r>
            <w:r>
              <w:rPr>
                <w:b/>
                <w:bCs/>
                <w:color w:val="18203A"/>
              </w:rPr>
              <w:t xml:space="preserve">di altri fornitori</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Riservatezza commerciale</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Documenti di qualifica propri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Sono i suoi documenti</w:t>
            </w:r>
          </w:p>
        </w:tc>
      </w:tr>
      <w:tr>
        <w:tc>
          <w:tcPr>
            <w:tcW w:type="dxa" w:w="2608"/>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altri fornitori</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Riservatezza</w:t>
            </w:r>
          </w:p>
        </w:tc>
      </w:tr>
    </w:tbl>
    <w:p>
      <w:pPr>
        <w:spacing w:after="200"/>
      </w:pPr>
    </w:p>
    <w:p>
      <w:pPr>
        <w:spacing w:after="140" w:line="288"/>
      </w:pPr>
      <w:r>
        <w:t xml:space="preserve">Al fornitore, dove Righi vede </w:t>
      </w:r>
      <w:r>
        <w:rPr>
          <w:i/>
          <w:iCs/>
        </w:rPr>
        <w:t xml:space="preserve">ore</w:t>
      </w:r>
      <w:r>
        <w:t xml:space="preserve">, il portale mostra </w:t>
      </w:r>
      <w:r>
        <w:rPr>
          <w:i/>
          <w:iCs/>
        </w:rPr>
        <w:t xml:space="preserve">importo</w:t>
      </w:r>
      <w:r>
        <w:t xml:space="preserve">: stessa realtà, grandezza appropriata a chi guarda.</w:t>
      </w:r>
    </w:p>
    <w:p>
      <w:pPr>
        <w:pStyle w:val="Heading1"/>
        <w:pageBreakBefore/>
        <w:pBdr>
          <w:bottom w:val="single" w:color="C4661A" w:sz="6" w:space="6"/>
        </w:pBdr>
        <w:spacing w:after="120" w:before="320"/>
      </w:pPr>
      <w:r>
        <w:t xml:space="preserve">3. Specifiche funzionali</w:t>
      </w:r>
    </w:p>
    <w:p>
      <w:pPr>
        <w:pStyle w:val="Heading2"/>
        <w:spacing w:after="120" w:before="240"/>
      </w:pPr>
      <w:r>
        <w:t xml:space="preserve">3.1 Ciclo di vita della commessa</w:t>
      </w:r>
    </w:p>
    <w:p>
      <w:pPr>
        <w:spacing w:after="140" w:line="288"/>
      </w:pPr>
      <w:r>
        <w:t xml:space="preserve">Ogni transizione ha un attore che la compie: non esistono stati irraggiungibili.</w:t>
      </w:r>
    </w:p>
    <w:p>
      <w:pPr>
        <w:spacing w:after="60" w:before="120"/>
        <w:jc w:val="center"/>
      </w:pPr>
      <w:r>
        <w:drawing>
          <wp:inline distT="0" distB="0" distL="0" distR="0">
            <wp:extent cx="3219450"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19450" cy="7905750"/>
                    </a:xfrm>
                    <a:prstGeom prst="rect">
                      <a:avLst/>
                    </a:prstGeom>
                  </pic:spPr>
                </pic:pic>
              </a:graphicData>
            </a:graphic>
          </wp:inline>
        </w:drawing>
      </w:r>
    </w:p>
    <w:p>
      <w:pPr>
        <w:spacing w:after="200"/>
        <w:jc w:val="center"/>
      </w:pPr>
      <w:r>
        <w:rPr>
          <w:i/>
          <w:iCs/>
          <w:color w:val="7A8199"/>
          <w:sz w:val="17"/>
          <w:szCs w:val="17"/>
        </w:rPr>
        <w:t xml:space="preserve">Diagramma 1</w:t>
      </w:r>
    </w:p>
    <w:p>
      <w:pPr>
        <w:spacing w:after="140" w:line="288"/>
      </w:pPr>
      <w:r>
        <w:rPr>
          <w:b/>
          <w:bCs/>
        </w:rPr>
        <w:t xml:space="preserve">Etichette in interfaccia</w:t>
      </w:r>
      <w:r>
        <w:t xml:space="preserve">: lo stato interno </w:t>
      </w:r>
      <w:r>
        <w:rPr>
          <w:rFonts w:ascii="Consolas" w:cs="Consolas" w:eastAsia="Consolas" w:hAnsi="Consolas"/>
          <w:color w:val="C4661A"/>
          <w:sz w:val="19"/>
          <w:szCs w:val="19"/>
        </w:rPr>
        <w:t xml:space="preserve">pubblicato</w:t>
      </w:r>
      <w:r>
        <w:t xml:space="preserve"> è mostrato come </w:t>
      </w:r>
      <w:r>
        <w:rPr>
          <w:b/>
          <w:bCs/>
        </w:rPr>
        <w:t xml:space="preserve">"Da assegnare"</w:t>
      </w:r>
      <w:r>
        <w:t xml:space="preserve">, perché descrive l'azione attesa da Righi anziché un fatto tecnico. Lo stesso badge colorato compare in bacheca, in cima alla commessa e nella guida.</w:t>
      </w:r>
    </w:p>
    <w:p>
      <w:pPr>
        <w:pStyle w:val="Heading2"/>
        <w:spacing w:after="120" w:before="240"/>
      </w:pPr>
      <w:r>
        <w:t xml:space="preserve">3.2 Visibilità delle commesse al fornitore</w:t>
      </w:r>
    </w:p>
    <w:p>
      <w:pPr>
        <w:spacing w:after="60" w:before="120"/>
        <w:jc w:val="center"/>
      </w:pPr>
      <w:r>
        <w:drawing>
          <wp:inline distT="0" distB="0" distL="0" distR="0">
            <wp:extent cx="53721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72100" cy="5372100"/>
                    </a:xfrm>
                    <a:prstGeom prst="rect">
                      <a:avLst/>
                    </a:prstGeom>
                  </pic:spPr>
                </pic:pic>
              </a:graphicData>
            </a:graphic>
          </wp:inline>
        </w:drawing>
      </w:r>
    </w:p>
    <w:p>
      <w:pPr>
        <w:spacing w:after="200"/>
        <w:jc w:val="center"/>
      </w:pPr>
      <w:r>
        <w:rPr>
          <w:i/>
          <w:iCs/>
          <w:color w:val="7A8199"/>
          <w:sz w:val="17"/>
          <w:szCs w:val="17"/>
        </w:rPr>
        <w:t xml:space="preserve">Diagramma 2</w:t>
      </w:r>
    </w:p>
    <w:p>
      <w:pPr>
        <w:spacing w:after="140" w:line="288"/>
      </w:pPr>
      <w:r>
        <w:t xml:space="preserve">Conseguenza voluta: </w:t>
      </w:r>
      <w:r>
        <w:rPr>
          <w:b/>
          <w:bCs/>
        </w:rPr>
        <w:t xml:space="preserve">appena una commessa è assegnata, sparisce dalla vista degli altri fornitori</w:t>
      </w:r>
      <w:r>
        <w:t xml:space="preserve">. Nessuno sa a chi è andata né a quanto.</w:t>
      </w:r>
    </w:p>
    <w:p>
      <w:pPr>
        <w:pStyle w:val="Heading2"/>
        <w:spacing w:after="120" w:before="240"/>
      </w:pPr>
      <w:r>
        <w:t xml:space="preserve">3.3 Le tre date e gli alert</w:t>
      </w:r>
    </w:p>
    <w:p>
      <w:pPr>
        <w:spacing w:after="140" w:line="288"/>
      </w:pPr>
      <w:r>
        <w:t xml:space="preserve">Il portale distingue tre date con funzioni diverse. È la distinzione che rende sensati gli allarmi: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Data</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Significato</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Chi la vede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Ruolo</w:t>
            </w:r>
          </w:p>
        </w:tc>
      </w:tr>
      <w:tr>
        <w:tc>
          <w:tcPr>
            <w:tcW w:type="dxa" w:w="2608"/>
            <w:tcMar>
              <w:top w:type="dxa" w:w="80"/>
              <w:left w:type="dxa" w:w="120"/>
              <w:bottom w:type="dxa" w:w="80"/>
              <w:right w:type="dxa" w:w="120"/>
            </w:tcMar>
          </w:tcPr>
          <w:p>
            <w:pPr>
              <w:spacing w:after="0" w:line="264"/>
              <w:jc w:val="left"/>
            </w:pPr>
            <w:r>
              <w:rPr>
                <w:b/>
                <w:bCs/>
                <w:color w:val="18203A"/>
              </w:rPr>
              <w:t xml:space="preserve">Inizio lavori stimato</w:t>
            </w:r>
          </w:p>
        </w:tc>
        <w:tc>
          <w:tcPr>
            <w:tcW w:type="dxa" w:w="2235"/>
            <w:tcMar>
              <w:top w:type="dxa" w:w="80"/>
              <w:left w:type="dxa" w:w="120"/>
              <w:bottom w:type="dxa" w:w="80"/>
              <w:right w:type="dxa" w:w="120"/>
            </w:tcMar>
          </w:tcPr>
          <w:p>
            <w:pPr>
              <w:spacing w:after="0" w:line="264"/>
              <w:jc w:val="left"/>
            </w:pPr>
            <w:r>
              <w:rPr>
                <w:color w:val="18203A"/>
              </w:rPr>
              <w:t xml:space="preserve">Quando dovrebbe partire la produzione</w:t>
            </w:r>
          </w:p>
        </w:tc>
        <w:tc>
          <w:tcPr>
            <w:tcW w:type="dxa" w:w="2235"/>
            <w:tcMar>
              <w:top w:type="dxa" w:w="80"/>
              <w:left w:type="dxa" w:w="120"/>
              <w:bottom w:type="dxa" w:w="80"/>
              <w:right w:type="dxa" w:w="120"/>
            </w:tcMar>
          </w:tcPr>
          <w:p>
            <w:pPr>
              <w:spacing w:after="0" w:line="264"/>
              <w:jc w:val="left"/>
            </w:pPr>
            <w:r>
              <w:rPr>
                <w:color w:val="18203A"/>
              </w:rPr>
              <w:t xml:space="preserve">Righi + fornitore</w:t>
            </w:r>
          </w:p>
        </w:tc>
        <w:tc>
          <w:tcPr>
            <w:tcW w:type="dxa" w:w="2236"/>
            <w:tcMar>
              <w:top w:type="dxa" w:w="80"/>
              <w:left w:type="dxa" w:w="120"/>
              <w:bottom w:type="dxa" w:w="80"/>
              <w:right w:type="dxa" w:w="120"/>
            </w:tcMar>
          </w:tcPr>
          <w:p>
            <w:pPr>
              <w:spacing w:after="0" w:line="264"/>
              <w:jc w:val="left"/>
            </w:pPr>
            <w:r>
              <w:rPr>
                <w:color w:val="18203A"/>
              </w:rPr>
              <w:t xml:space="preserve">Alert </w:t>
            </w:r>
            <w:r>
              <w:rPr>
                <w:i/>
                <w:iCs/>
                <w:color w:val="18203A"/>
              </w:rPr>
              <w:t xml:space="preserve">inizio in ritardo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Rientro in Righi</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Riconsegna del quadro finito</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Righi + fornitore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Scadenza operativa: carico, puntualità, ordinamenti</w:t>
            </w:r>
          </w:p>
        </w:tc>
      </w:tr>
      <w:tr>
        <w:tc>
          <w:tcPr>
            <w:tcW w:type="dxa" w:w="2608"/>
            <w:tcMar>
              <w:top w:type="dxa" w:w="80"/>
              <w:left w:type="dxa" w:w="120"/>
              <w:bottom w:type="dxa" w:w="80"/>
              <w:right w:type="dxa" w:w="120"/>
            </w:tcMar>
          </w:tcPr>
          <w:p>
            <w:pPr>
              <w:spacing w:after="0" w:line="264"/>
              <w:jc w:val="left"/>
            </w:pPr>
            <w:r>
              <w:rPr>
                <w:b/>
                <w:bCs/>
                <w:color w:val="18203A"/>
              </w:rPr>
              <w:t xml:space="preserve">Consegna al cliente</w:t>
            </w:r>
          </w:p>
        </w:tc>
        <w:tc>
          <w:tcPr>
            <w:tcW w:type="dxa" w:w="2235"/>
            <w:tcMar>
              <w:top w:type="dxa" w:w="80"/>
              <w:left w:type="dxa" w:w="120"/>
              <w:bottom w:type="dxa" w:w="80"/>
              <w:right w:type="dxa" w:w="120"/>
            </w:tcMar>
          </w:tcPr>
          <w:p>
            <w:pPr>
              <w:spacing w:after="0" w:line="264"/>
              <w:jc w:val="left"/>
            </w:pPr>
            <w:r>
              <w:rPr>
                <w:color w:val="18203A"/>
              </w:rPr>
              <w:t xml:space="preserve">Impegno di Righi verso il cliente finale</w:t>
            </w:r>
          </w:p>
        </w:tc>
        <w:tc>
          <w:tcPr>
            <w:tcW w:type="dxa" w:w="2235"/>
            <w:tcMar>
              <w:top w:type="dxa" w:w="80"/>
              <w:left w:type="dxa" w:w="120"/>
              <w:bottom w:type="dxa" w:w="80"/>
              <w:right w:type="dxa" w:w="120"/>
            </w:tcMar>
          </w:tcPr>
          <w:p>
            <w:pPr>
              <w:spacing w:after="0" w:line="264"/>
              <w:jc w:val="left"/>
            </w:pPr>
            <w:r>
              <w:rPr>
                <w:color w:val="18203A"/>
              </w:rPr>
              <w:t xml:space="preserve">Solo Righi</w:t>
            </w:r>
          </w:p>
        </w:tc>
        <w:tc>
          <w:tcPr>
            <w:tcW w:type="dxa" w:w="2236"/>
            <w:tcMar>
              <w:top w:type="dxa" w:w="80"/>
              <w:left w:type="dxa" w:w="120"/>
              <w:bottom w:type="dxa" w:w="80"/>
              <w:right w:type="dxa" w:w="120"/>
            </w:tcMar>
          </w:tcPr>
          <w:p>
            <w:pPr>
              <w:spacing w:after="0" w:line="264"/>
              <w:jc w:val="left"/>
            </w:pPr>
            <w:r>
              <w:rPr>
                <w:color w:val="18203A"/>
              </w:rPr>
              <w:t xml:space="preserve">Margine interno, </w:t>
            </w:r>
            <w:r>
              <w:rPr>
                <w:b/>
                <w:bCs/>
                <w:color w:val="18203A"/>
              </w:rPr>
              <w:t xml:space="preserve">mai</w:t>
            </w:r>
            <w:r>
              <w:rPr>
                <w:color w:val="18203A"/>
              </w:rPr>
              <w:t xml:space="preserve"> usata per gli alert</w:t>
            </w:r>
          </w:p>
        </w:tc>
      </w:tr>
    </w:tbl>
    <w:p>
      <w:pPr>
        <w:spacing w:after="200"/>
      </w:pPr>
    </w:p>
    <w:p>
      <w:pPr>
        <w:spacing w:after="140" w:line="288"/>
      </w:pPr>
      <w:r>
        <w:t xml:space="preserve">Gli alert si basano </w:t>
      </w:r>
      <w:r>
        <w:rPr>
          <w:b/>
          <w:bCs/>
        </w:rPr>
        <w:t xml:space="preserve">solo sulle date operative</w:t>
      </w:r>
      <w:r>
        <w:t xml:space="preserve">:</w:t>
      </w:r>
    </w:p>
    <w:p>
      <w:pPr>
        <w:pStyle w:val="ListParagraph"/>
        <w:numPr>
          <w:ilvl w:val="0"/>
          <w:numId w:val="3"/>
        </w:numPr>
        <w:spacing w:after="80" w:line="288"/>
      </w:pPr>
      <w:r>
        <w:rPr>
          <w:b/>
          <w:bCs/>
        </w:rPr>
        <w:t xml:space="preserve">Inizio in ritardo</w:t>
      </w:r>
      <w:r>
        <w:t xml:space="preserve"> — commessa </w:t>
      </w:r>
      <w:r>
        <w:rPr>
          <w:rFonts w:ascii="Consolas" w:cs="Consolas" w:eastAsia="Consolas" w:hAnsi="Consolas"/>
          <w:color w:val="C4661A"/>
          <w:sz w:val="19"/>
          <w:szCs w:val="19"/>
        </w:rPr>
        <w:t xml:space="preserve">assegnato</w:t>
      </w:r>
      <w:r>
        <w:t xml:space="preserve"> con inizio stimato superato (produzione non ancora partita).</w:t>
      </w:r>
    </w:p>
    <w:p>
      <w:pPr>
        <w:pStyle w:val="ListParagraph"/>
        <w:numPr>
          <w:ilvl w:val="0"/>
          <w:numId w:val="3"/>
        </w:numPr>
        <w:spacing w:after="80" w:line="288"/>
      </w:pPr>
      <w:r>
        <w:rPr>
          <w:b/>
          <w:bCs/>
        </w:rPr>
        <w:t xml:space="preserve">Rientro in ritardo</w:t>
      </w:r>
      <w:r>
        <w:t xml:space="preserve"> — commessa </w:t>
      </w:r>
      <w:r>
        <w:rPr>
          <w:rFonts w:ascii="Consolas" w:cs="Consolas" w:eastAsia="Consolas" w:hAnsi="Consolas"/>
          <w:color w:val="C4661A"/>
          <w:sz w:val="19"/>
          <w:szCs w:val="19"/>
        </w:rPr>
        <w:t xml:space="preserve">assegnato</w:t>
      </w:r>
      <w:r>
        <w:t xml:space="preserve"> o </w:t>
      </w:r>
      <w:r>
        <w:rPr>
          <w:rFonts w:ascii="Consolas" w:cs="Consolas" w:eastAsia="Consolas" w:hAnsi="Consolas"/>
          <w:color w:val="C4661A"/>
          <w:sz w:val="19"/>
          <w:szCs w:val="19"/>
        </w:rPr>
        <w:t xml:space="preserve">in_corso</w:t>
      </w:r>
      <w:r>
        <w:t xml:space="preserve"> con rientro superato.</w:t>
      </w:r>
    </w:p>
    <w:p>
      <w:pPr>
        <w:spacing w:after="120"/>
      </w:pPr>
    </w:p>
    <w:p>
      <w:pPr>
        <w:spacing w:after="140" w:line="288"/>
      </w:pPr>
      <w:r>
        <w:t xml:space="preserve">Il </w:t>
      </w:r>
      <w:r>
        <w:rPr>
          <w:i/>
          <w:iCs/>
        </w:rPr>
        <w:t xml:space="preserve">semaforo di salute</w:t>
      </w:r>
      <w:r>
        <w:t xml:space="preserve"> aggiunge la previsione, incrociando giorni residui, avanzamento dichiarato e puntualità storica del fornitore:</w:t>
      </w:r>
    </w:p>
    <w:p>
      <w:pPr>
        <w:spacing w:after="60" w:before="120"/>
        <w:jc w:val="center"/>
      </w:pPr>
      <w:r>
        <w:drawing>
          <wp:inline distT="0" distB="0" distL="0" distR="0">
            <wp:extent cx="53721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72100" cy="2171700"/>
                    </a:xfrm>
                    <a:prstGeom prst="rect">
                      <a:avLst/>
                    </a:prstGeom>
                  </pic:spPr>
                </pic:pic>
              </a:graphicData>
            </a:graphic>
          </wp:inline>
        </w:drawing>
      </w:r>
    </w:p>
    <w:p>
      <w:pPr>
        <w:spacing w:after="200"/>
        <w:jc w:val="center"/>
      </w:pPr>
      <w:r>
        <w:rPr>
          <w:i/>
          <w:iCs/>
          <w:color w:val="7A8199"/>
          <w:sz w:val="17"/>
          <w:szCs w:val="17"/>
        </w:rPr>
        <w:t xml:space="preserve">Diagramma 3</w:t>
      </w:r>
    </w:p>
    <w:p>
      <w:pPr>
        <w:pStyle w:val="Heading2"/>
        <w:spacing w:after="120" w:before="240"/>
      </w:pPr>
      <w:r>
        <w:t xml:space="preserve">3.4 Dalla pubblicazione all'assegnazione</w:t>
      </w:r>
    </w:p>
    <w:p>
      <w:pPr>
        <w:spacing w:after="60" w:before="120"/>
        <w:jc w:val="center"/>
      </w:pPr>
      <w:r>
        <w:drawing>
          <wp:inline distT="0" distB="0" distL="0" distR="0">
            <wp:extent cx="53721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72100" cy="3038475"/>
                    </a:xfrm>
                    <a:prstGeom prst="rect">
                      <a:avLst/>
                    </a:prstGeom>
                  </pic:spPr>
                </pic:pic>
              </a:graphicData>
            </a:graphic>
          </wp:inline>
        </w:drawing>
      </w:r>
    </w:p>
    <w:p>
      <w:pPr>
        <w:spacing w:after="200"/>
        <w:jc w:val="center"/>
      </w:pPr>
      <w:r>
        <w:rPr>
          <w:i/>
          <w:iCs/>
          <w:color w:val="7A8199"/>
          <w:sz w:val="17"/>
          <w:szCs w:val="17"/>
        </w:rPr>
        <w:t xml:space="preserve">Diagramma 4</w:t>
      </w:r>
    </w:p>
    <w:p>
      <w:pPr>
        <w:spacing w:after="140" w:line="288"/>
      </w:pPr>
      <w:r>
        <w:rPr>
          <w:b/>
          <w:bCs/>
        </w:rPr>
        <w:t xml:space="preserve">Suggerimento dei fornitori</w:t>
      </w:r>
      <w:r>
        <w:t xml:space="preserve"> — punteggio calcolato, non arbitrario. Concorrono solo fornitori </w:t>
      </w:r>
      <w:r>
        <w:rPr>
          <w:b/>
          <w:bCs/>
        </w:rPr>
        <w:t xml:space="preserve">accreditati e attivi</w:t>
      </w:r>
      <w:r>
        <w:t xml:space="preserv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Fattore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Peso</w:t>
            </w:r>
          </w:p>
        </w:tc>
      </w:tr>
      <w:tr>
        <w:tc>
          <w:tcPr>
            <w:tcW w:type="dxa" w:w="3167"/>
            <w:tcMar>
              <w:top w:type="dxa" w:w="80"/>
              <w:left w:type="dxa" w:w="120"/>
              <w:bottom w:type="dxa" w:w="80"/>
              <w:right w:type="dxa" w:w="120"/>
            </w:tcMar>
          </w:tcPr>
          <w:p>
            <w:pPr>
              <w:spacing w:after="0" w:line="264"/>
              <w:jc w:val="left"/>
            </w:pPr>
            <w:r>
              <w:rPr>
                <w:color w:val="18203A"/>
              </w:rPr>
              <w:t xml:space="preserve">Preferenza dell'OTL per quel fornitore (% storica)</w:t>
            </w:r>
          </w:p>
        </w:tc>
        <w:tc>
          <w:tcPr>
            <w:tcW w:type="dxa" w:w="6147"/>
            <w:tcMar>
              <w:top w:type="dxa" w:w="80"/>
              <w:left w:type="dxa" w:w="120"/>
              <w:bottom w:type="dxa" w:w="80"/>
              <w:right w:type="dxa" w:w="120"/>
            </w:tcMar>
          </w:tcPr>
          <w:p>
            <w:pPr>
              <w:spacing w:after="0" w:line="264"/>
              <w:jc w:val="left"/>
            </w:pPr>
            <w:r>
              <w:rPr>
                <w:color w:val="18203A"/>
              </w:rPr>
              <w:t xml:space="preserve">+ metà della percentuale</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Specializzazione sulla tipologia di quadro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+ 35</w:t>
            </w:r>
          </w:p>
        </w:tc>
      </w:tr>
      <w:tr>
        <w:tc>
          <w:tcPr>
            <w:tcW w:type="dxa" w:w="3167"/>
            <w:tcMar>
              <w:top w:type="dxa" w:w="80"/>
              <w:left w:type="dxa" w:w="120"/>
              <w:bottom w:type="dxa" w:w="80"/>
              <w:right w:type="dxa" w:w="120"/>
            </w:tcMar>
          </w:tcPr>
          <w:p>
            <w:pPr>
              <w:spacing w:after="0" w:line="264"/>
              <w:jc w:val="left"/>
            </w:pPr>
            <w:r>
              <w:rPr>
                <w:color w:val="18203A"/>
              </w:rPr>
              <w:t xml:space="preserve">Esperienza nel settore</w:t>
            </w:r>
          </w:p>
        </w:tc>
        <w:tc>
          <w:tcPr>
            <w:tcW w:type="dxa" w:w="6147"/>
            <w:tcMar>
              <w:top w:type="dxa" w:w="80"/>
              <w:left w:type="dxa" w:w="120"/>
              <w:bottom w:type="dxa" w:w="80"/>
              <w:right w:type="dxa" w:w="120"/>
            </w:tcMar>
          </w:tcPr>
          <w:p>
            <w:pPr>
              <w:spacing w:after="0" w:line="264"/>
              <w:jc w:val="left"/>
            </w:pPr>
            <w:r>
              <w:rPr>
                <w:color w:val="18203A"/>
              </w:rPr>
              <w:t xml:space="preserve">+ 20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Certificazione &gt;250A su quadri di potenza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+ 12</w:t>
            </w:r>
          </w:p>
        </w:tc>
      </w:tr>
      <w:tr>
        <w:tc>
          <w:tcPr>
            <w:tcW w:type="dxa" w:w="3167"/>
            <w:tcMar>
              <w:top w:type="dxa" w:w="80"/>
              <w:left w:type="dxa" w:w="120"/>
              <w:bottom w:type="dxa" w:w="80"/>
              <w:right w:type="dxa" w:w="120"/>
            </w:tcMar>
          </w:tcPr>
          <w:p>
            <w:pPr>
              <w:spacing w:after="0" w:line="264"/>
              <w:jc w:val="left"/>
            </w:pPr>
            <w:r>
              <w:rPr>
                <w:color w:val="18203A"/>
              </w:rPr>
              <w:t xml:space="preserve">Certificazione igienico/food su food e farmaceutico</w:t>
            </w:r>
          </w:p>
        </w:tc>
        <w:tc>
          <w:tcPr>
            <w:tcW w:type="dxa" w:w="6147"/>
            <w:tcMar>
              <w:top w:type="dxa" w:w="80"/>
              <w:left w:type="dxa" w:w="120"/>
              <w:bottom w:type="dxa" w:w="80"/>
              <w:right w:type="dxa" w:w="120"/>
            </w:tcMar>
          </w:tcPr>
          <w:p>
            <w:pPr>
              <w:spacing w:after="0" w:line="264"/>
              <w:jc w:val="left"/>
            </w:pPr>
            <w:r>
              <w:rPr>
                <w:color w:val="18203A"/>
              </w:rPr>
              <w:t xml:space="preserve">+ 10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Capacità libera sufficiente nel mese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+ 20 (parziale + 8, saturo − 12)</w:t>
            </w:r>
          </w:p>
        </w:tc>
      </w:tr>
      <w:tr>
        <w:tc>
          <w:tcPr>
            <w:tcW w:type="dxa" w:w="3167"/>
            <w:tcMar>
              <w:top w:type="dxa" w:w="80"/>
              <w:left w:type="dxa" w:w="120"/>
              <w:bottom w:type="dxa" w:w="80"/>
              <w:right w:type="dxa" w:w="120"/>
            </w:tcMar>
          </w:tcPr>
          <w:p>
            <w:pPr>
              <w:spacing w:after="0" w:line="264"/>
              <w:jc w:val="left"/>
            </w:pPr>
            <w:r>
              <w:rPr>
                <w:color w:val="18203A"/>
              </w:rPr>
              <w:t xml:space="preserve">Puntualità storica</w:t>
            </w:r>
          </w:p>
        </w:tc>
        <w:tc>
          <w:tcPr>
            <w:tcW w:type="dxa" w:w="6147"/>
            <w:tcMar>
              <w:top w:type="dxa" w:w="80"/>
              <w:left w:type="dxa" w:w="120"/>
              <w:bottom w:type="dxa" w:w="80"/>
              <w:right w:type="dxa" w:w="120"/>
            </w:tcMar>
          </w:tcPr>
          <w:p>
            <w:pPr>
              <w:spacing w:after="0" w:line="264"/>
              <w:jc w:val="left"/>
            </w:pPr>
            <w:r>
              <w:rPr>
                <w:color w:val="18203A"/>
              </w:rPr>
              <w:t xml:space="preserve">± in proporzione allo scarto da 70%</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 non lavorabile</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− 45</w:t>
            </w:r>
            <w:r>
              <w:rPr>
                <w:color w:val="18203A"/>
              </w:rPr>
              <w:t xml:space="preserve"> (vincolo quasi bloccante)</w:t>
            </w:r>
          </w:p>
        </w:tc>
      </w:tr>
    </w:tbl>
    <w:p>
      <w:pPr>
        <w:spacing w:after="200"/>
      </w:pPr>
    </w:p>
    <w:p>
      <w:pPr>
        <w:spacing w:after="140" w:line="288"/>
      </w:pPr>
      <w:r>
        <w:rPr>
          <w:b/>
          <w:bCs/>
        </w:rPr>
        <w:t xml:space="preserve">Firma leggera</w:t>
      </w:r>
      <w:r>
        <w:t xml:space="preserve"> — accettando, il fornitore spunta una conferma a proprio nome: il portale registra nominativo, data e ora. Vale come assunzione di impegno tracciata; l'irrobustimento (hash, IP, PDF d'ordine) è previsto lato server.</w:t>
      </w:r>
    </w:p>
    <w:p>
      <w:pPr>
        <w:pStyle w:val="Heading2"/>
        <w:spacing w:after="120" w:before="240"/>
      </w:pPr>
      <w:r>
        <w:t xml:space="preserve">3.5 Comunicazione: richieste guidate</w:t>
      </w:r>
    </w:p>
    <w:p>
      <w:pPr>
        <w:spacing w:after="140" w:line="288"/>
      </w:pPr>
      <w:r>
        <w:t xml:space="preserve">Il fornitore non scrive email libere: sceglie un </w:t>
      </w:r>
      <w:r>
        <w:rPr>
          <w:b/>
          <w:bCs/>
        </w:rPr>
        <w:t xml:space="preserve">tipo</w:t>
      </w:r>
      <w:r>
        <w:t xml:space="preserve"> e il portale struttura il resto. Otto tipi disponibili: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Tipo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Effetto</w:t>
            </w:r>
          </w:p>
        </w:tc>
      </w:tr>
      <w:tr>
        <w:tc>
          <w:tcPr>
            <w:tcW w:type="dxa" w:w="3167"/>
            <w:tcMar>
              <w:top w:type="dxa" w:w="80"/>
              <w:left w:type="dxa" w:w="120"/>
              <w:bottom w:type="dxa" w:w="80"/>
              <w:right w:type="dxa" w:w="120"/>
            </w:tcMar>
          </w:tcPr>
          <w:p>
            <w:pPr>
              <w:spacing w:after="0" w:line="264"/>
              <w:jc w:val="left"/>
            </w:pPr>
            <w:r>
              <w:rPr>
                <w:color w:val="18203A"/>
              </w:rPr>
              <w:t xml:space="preserve">Dubbio tecnico</w:t>
            </w:r>
          </w:p>
        </w:tc>
        <w:tc>
          <w:tcPr>
            <w:tcW w:type="dxa" w:w="6147"/>
            <w:tcMar>
              <w:top w:type="dxa" w:w="80"/>
              <w:left w:type="dxa" w:w="120"/>
              <w:bottom w:type="dxa" w:w="80"/>
              <w:right w:type="dxa" w:w="120"/>
            </w:tcMar>
          </w:tcPr>
          <w:p>
            <w:pPr>
              <w:spacing w:after="0" w:line="264"/>
              <w:jc w:val="left"/>
            </w:pPr>
            <w:r>
              <w:rPr>
                <w:color w:val="18203A"/>
              </w:rPr>
              <w:t xml:space="preserve">Conversazione con il caposquadra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Mancanza materiale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Idem, con foto allegabile</w:t>
            </w:r>
          </w:p>
        </w:tc>
      </w:tr>
      <w:tr>
        <w:tc>
          <w:tcPr>
            <w:tcW w:type="dxa" w:w="3167"/>
            <w:tcMar>
              <w:top w:type="dxa" w:w="80"/>
              <w:left w:type="dxa" w:w="120"/>
              <w:bottom w:type="dxa" w:w="80"/>
              <w:right w:type="dxa" w:w="120"/>
            </w:tcMar>
          </w:tcPr>
          <w:p>
            <w:pPr>
              <w:spacing w:after="0" w:line="264"/>
              <w:jc w:val="left"/>
            </w:pPr>
            <w:r>
              <w:rPr>
                <w:b/>
                <w:bCs/>
                <w:color w:val="18203A"/>
              </w:rPr>
              <w:t xml:space="preserve">Richiesta di slittamento</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sposta la data di rientro</w:t>
            </w:r>
            <w:r>
              <w:rPr>
                <w:color w:val="18203A"/>
              </w:rPr>
              <w:t xml:space="preserve"> con storico</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Segnalazione ritardo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Segnalazione tracciata</w:t>
            </w:r>
          </w:p>
        </w:tc>
      </w:tr>
      <w:tr>
        <w:tc>
          <w:tcPr>
            <w:tcW w:type="dxa" w:w="3167"/>
            <w:tcMar>
              <w:top w:type="dxa" w:w="80"/>
              <w:left w:type="dxa" w:w="120"/>
              <w:bottom w:type="dxa" w:w="80"/>
              <w:right w:type="dxa" w:w="120"/>
            </w:tcMar>
          </w:tcPr>
          <w:p>
            <w:pPr>
              <w:spacing w:after="0" w:line="264"/>
              <w:jc w:val="left"/>
            </w:pPr>
            <w:r>
              <w:rPr>
                <w:color w:val="18203A"/>
              </w:rPr>
              <w:t xml:space="preserve">Chiarimento layout / sopralluogo</w:t>
            </w:r>
          </w:p>
        </w:tc>
        <w:tc>
          <w:tcPr>
            <w:tcW w:type="dxa" w:w="6147"/>
            <w:tcMar>
              <w:top w:type="dxa" w:w="80"/>
              <w:left w:type="dxa" w:w="120"/>
              <w:bottom w:type="dxa" w:w="80"/>
              <w:right w:type="dxa" w:w="120"/>
            </w:tcMar>
          </w:tcPr>
          <w:p>
            <w:pPr>
              <w:spacing w:after="0" w:line="264"/>
              <w:jc w:val="left"/>
            </w:pPr>
            <w:r>
              <w:rPr>
                <w:color w:val="18203A"/>
              </w:rPr>
              <w:t xml:space="preserve">Conversazione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Richiesta di approvazione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sblocca</w:t>
            </w:r>
            <w:r>
              <w:rPr>
                <w:color w:val="18203A"/>
              </w:rPr>
              <w:t xml:space="preserve"> il "Segna consegnato"</w:t>
            </w:r>
          </w:p>
        </w:tc>
      </w:tr>
      <w:tr>
        <w:tc>
          <w:tcPr>
            <w:tcW w:type="dxa" w:w="3167"/>
            <w:tcMar>
              <w:top w:type="dxa" w:w="80"/>
              <w:left w:type="dxa" w:w="120"/>
              <w:bottom w:type="dxa" w:w="80"/>
              <w:right w:type="dxa" w:w="120"/>
            </w:tcMar>
          </w:tcPr>
          <w:p>
            <w:pPr>
              <w:spacing w:after="0" w:line="264"/>
              <w:jc w:val="left"/>
            </w:pPr>
            <w:r>
              <w:rPr>
                <w:b/>
                <w:bCs/>
                <w:color w:val="18203A"/>
              </w:rPr>
              <w:t xml:space="preserve">Richiesta di extra</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aumenta l'importo</w:t>
            </w:r>
            <w:r>
              <w:rPr>
                <w:color w:val="18203A"/>
              </w:rPr>
              <w:t xml:space="preserve"> della commessa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Altro</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Descrizione obbligatoria</w:t>
            </w:r>
            <w:r>
              <w:rPr>
                <w:color w:val="18203A"/>
              </w:rPr>
              <w:t xml:space="preserve">: una richiesta generica senza spiegazione non è valutabile</w:t>
            </w:r>
          </w:p>
        </w:tc>
      </w:tr>
    </w:tbl>
    <w:p>
      <w:pPr>
        <w:spacing w:after="200"/>
      </w:pPr>
    </w:p>
    <w:p>
      <w:pPr>
        <w:spacing w:after="140" w:line="288"/>
      </w:pPr>
      <w:r>
        <w:t xml:space="preserve">Il caposquadra risponde con </w:t>
      </w:r>
      <w:r>
        <w:rPr>
          <w:b/>
          <w:bCs/>
        </w:rPr>
        <w:t xml:space="preserve">risposte rapide</w:t>
      </w:r>
      <w:r>
        <w:t xml:space="preserve"> predefinite (</w:t>
      </w:r>
      <w:r>
        <w:rPr>
          <w:i/>
          <w:iCs/>
        </w:rPr>
        <w:t xml:space="preserve">Procedi pure</w:t>
      </w:r>
      <w:r>
        <w:t xml:space="preserve">, </w:t>
      </w:r>
      <w:r>
        <w:rPr>
          <w:i/>
          <w:iCs/>
        </w:rPr>
        <w:t xml:space="preserve">Ti richiamo a breve</w:t>
      </w:r>
      <w:r>
        <w:t xml:space="preserve">, </w:t>
      </w:r>
      <w:r>
        <w:rPr>
          <w:i/>
          <w:iCs/>
        </w:rPr>
        <w:t xml:space="preserve">OK usa l'alternativa</w:t>
      </w:r>
      <w:r>
        <w:t xml:space="preserve">, </w:t>
      </w:r>
      <w:r>
        <w:rPr>
          <w:i/>
          <w:iCs/>
        </w:rPr>
        <w:t xml:space="preserve">Serve un sopralluogo</w:t>
      </w:r>
      <w:r>
        <w:t xml:space="preserve">, </w:t>
      </w:r>
      <w:r>
        <w:rPr>
          <w:i/>
          <w:iCs/>
        </w:rPr>
        <w:t xml:space="preserve">Verifico e ti aggiorno</w:t>
      </w:r>
      <w:r>
        <w:t xml:space="preserve">) — conversazione senza tastiera.</w:t>
      </w:r>
    </w:p>
    <w:p>
      <w:pPr>
        <w:pStyle w:val="Heading2"/>
        <w:spacing w:after="120" w:before="240"/>
      </w:pPr>
      <w:r>
        <w:t xml:space="preserve">3.6 Gestione degli extra</w:t>
      </w:r>
    </w:p>
    <w:p>
      <w:pPr>
        <w:spacing w:after="140" w:line="288"/>
      </w:pPr>
      <w:r>
        <w:t xml:space="preserve">Il problema che risolve: senza uno strumento, la lavorazione in più si tratta a voce, l'importo reale diverge da quello registrato e il conto si discute a lavoro finito, quando Righi ha già il quadro in casa.</w:t>
      </w:r>
    </w:p>
    <w:p>
      <w:pPr>
        <w:spacing w:after="60" w:before="120"/>
        <w:jc w:val="center"/>
      </w:pPr>
      <w:r>
        <w:drawing>
          <wp:inline distT="0" distB="0" distL="0" distR="0">
            <wp:extent cx="53721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72100" cy="2876550"/>
                    </a:xfrm>
                    <a:prstGeom prst="rect">
                      <a:avLst/>
                    </a:prstGeom>
                  </pic:spPr>
                </pic:pic>
              </a:graphicData>
            </a:graphic>
          </wp:inline>
        </w:drawing>
      </w:r>
    </w:p>
    <w:p>
      <w:pPr>
        <w:spacing w:after="200"/>
        <w:jc w:val="center"/>
      </w:pPr>
      <w:r>
        <w:rPr>
          <w:i/>
          <w:iCs/>
          <w:color w:val="7A8199"/>
          <w:sz w:val="17"/>
          <w:szCs w:val="17"/>
        </w:rPr>
        <w:t xml:space="preserve">Diagramma 5</w:t>
      </w:r>
    </w:p>
    <w:p>
      <w:pPr>
        <w:spacing w:after="140" w:line="288"/>
      </w:pPr>
      <w:r>
        <w:rPr>
          <w:b/>
          <w:bCs/>
        </w:rPr>
        <w:t xml:space="preserve">Regole</w:t>
      </w:r>
    </w:p>
    <w:p>
      <w:pPr>
        <w:pStyle w:val="ListParagraph"/>
        <w:numPr>
          <w:ilvl w:val="0"/>
          <w:numId w:val="3"/>
        </w:numPr>
        <w:spacing w:after="80" w:line="288"/>
      </w:pPr>
      <w:r>
        <w:rPr>
          <w:b/>
          <w:bCs/>
        </w:rPr>
        <w:t xml:space="preserve">Soglia: 10%</w:t>
      </w:r>
      <w:r>
        <w:t xml:space="preserve"> dell'importo concordato (costante </w:t>
      </w:r>
      <w:r>
        <w:rPr>
          <w:rFonts w:ascii="Consolas" w:cs="Consolas" w:eastAsia="Consolas" w:hAnsi="Consolas"/>
          <w:color w:val="C4661A"/>
          <w:sz w:val="19"/>
          <w:szCs w:val="19"/>
        </w:rPr>
        <w:t xml:space="preserve">EXTRA_SOGLIA_PERC</w:t>
      </w:r>
      <w:r>
        <w:t xml:space="preserve">). Su una commessa da 10.000 € il confine è 1.000 €. Il controllo è applicato anche alla chiamata diretta, non solo nascondendo i pulsanti.</w:t>
      </w:r>
    </w:p>
    <w:p>
      <w:pPr>
        <w:pStyle w:val="ListParagraph"/>
        <w:numPr>
          <w:ilvl w:val="0"/>
          <w:numId w:val="3"/>
        </w:numPr>
        <w:spacing w:after="80" w:line="288"/>
      </w:pPr>
      <w:r>
        <w:rPr>
          <w:b/>
          <w:bCs/>
        </w:rPr>
        <w:t xml:space="preserve">Contro-proposta</w:t>
      </w:r>
      <w:r>
        <w:t xml:space="preserve">: Righi può riconoscere un importo </w:t>
      </w:r>
      <w:r>
        <w:rPr>
          <w:b/>
          <w:bCs/>
        </w:rPr>
        <w:t xml:space="preserve">diverso</w:t>
      </w:r>
      <w:r>
        <w:t xml:space="preserve"> da quello richiesto. È il caso reale più frequente; senza questa possibilità la funzione si ridurrebbe a "tutto o niente".</w:t>
      </w:r>
    </w:p>
    <w:p>
      <w:pPr>
        <w:pStyle w:val="ListParagraph"/>
        <w:numPr>
          <w:ilvl w:val="0"/>
          <w:numId w:val="3"/>
        </w:numPr>
        <w:spacing w:after="80" w:line="288"/>
      </w:pPr>
      <w:r>
        <w:rPr>
          <w:b/>
          <w:bCs/>
        </w:rPr>
        <w:t xml:space="preserve">Le ore contano</w:t>
      </w:r>
      <w:r>
        <w:t xml:space="preserve">: le ore aggiuntive (dato interno) entrano in carico, capacità mensile e analisi del collo di bottiglia. Ometterle farebbe apparire più capacità libera di quanta ce ne sia — la pianificazione si sfaserebbe in silenzio.</w:t>
      </w:r>
    </w:p>
    <w:p>
      <w:pPr>
        <w:pStyle w:val="ListParagraph"/>
        <w:numPr>
          <w:ilvl w:val="0"/>
          <w:numId w:val="3"/>
        </w:numPr>
        <w:spacing w:after="80" w:line="288"/>
      </w:pPr>
      <w:r>
        <w:rPr>
          <w:b/>
          <w:bCs/>
        </w:rPr>
        <w:t xml:space="preserve">Blocco</w:t>
      </w:r>
      <w:r>
        <w:t xml:space="preserve">: un extra ancora aperto </w:t>
      </w:r>
      <w:r>
        <w:rPr>
          <w:b/>
          <w:bCs/>
        </w:rPr>
        <w:t xml:space="preserve">impedisce l'autorizzazione a consegnare</w:t>
      </w:r>
      <w:r>
        <w:t xml:space="preserve">. Le questioni economiche si chiudono prima che il quadro rientri.</w:t>
      </w:r>
    </w:p>
    <w:p>
      <w:pPr>
        <w:pStyle w:val="ListParagraph"/>
        <w:numPr>
          <w:ilvl w:val="0"/>
          <w:numId w:val="3"/>
        </w:numPr>
        <w:spacing w:after="80" w:line="288"/>
      </w:pPr>
      <w:r>
        <w:rPr>
          <w:b/>
          <w:bCs/>
        </w:rPr>
        <w:t xml:space="preserve">Effetti a valle</w:t>
      </w:r>
      <w:r>
        <w:t xml:space="preserve">: importo finale = concordato + extra approvati; l'export per l'ERP distingue </w:t>
      </w:r>
      <w:r>
        <w:rPr>
          <w:rFonts w:ascii="Consolas" w:cs="Consolas" w:eastAsia="Consolas" w:hAnsi="Consolas"/>
          <w:color w:val="C4661A"/>
          <w:sz w:val="19"/>
          <w:szCs w:val="19"/>
        </w:rPr>
        <w:t xml:space="preserve">importo_base</w:t>
      </w:r>
      <w:r>
        <w:t xml:space="preserve">, </w:t>
      </w:r>
      <w:r>
        <w:rPr>
          <w:rFonts w:ascii="Consolas" w:cs="Consolas" w:eastAsia="Consolas" w:hAnsi="Consolas"/>
          <w:color w:val="C4661A"/>
          <w:sz w:val="19"/>
          <w:szCs w:val="19"/>
        </w:rPr>
        <w:t xml:space="preserve">extra_approvati</w:t>
      </w:r>
      <w:r>
        <w:t xml:space="preserve">, </w:t>
      </w:r>
      <w:r>
        <w:rPr>
          <w:rFonts w:ascii="Consolas" w:cs="Consolas" w:eastAsia="Consolas" w:hAnsi="Consolas"/>
          <w:color w:val="C4661A"/>
          <w:sz w:val="19"/>
          <w:szCs w:val="19"/>
        </w:rPr>
        <w:t xml:space="preserve">importo_finale</w:t>
      </w:r>
      <w:r>
        <w:t xml:space="preserve">.</w:t>
      </w:r>
    </w:p>
    <w:p>
      <w:pPr>
        <w:spacing w:after="120"/>
      </w:pPr>
    </w:p>
    <w:p>
      <w:pPr>
        <w:pStyle w:val="Heading2"/>
        <w:spacing w:after="120" w:before="240"/>
      </w:pPr>
      <w:r>
        <w:t xml:space="preserve">3.7 Qualifica del fornitore: chi può lavorare per noi</w:t>
      </w:r>
    </w:p>
    <w:p>
      <w:pPr>
        <w:spacing w:after="140" w:line="288"/>
      </w:pPr>
      <w:r>
        <w:t xml:space="preserve">Accanto alla domanda operativa </w:t>
      </w:r>
      <w:r>
        <w:rPr>
          <w:i/>
          <w:iCs/>
        </w:rPr>
        <w:t xml:space="preserve">«a chi conviene affidare questo lavoro?»</w:t>
      </w:r>
      <w:r>
        <w:t xml:space="preserve"> il portale presidia quella preliminare: </w:t>
      </w:r>
      <w:r>
        <w:rPr>
          <w:i/>
          <w:iCs/>
        </w:rPr>
        <w:t xml:space="preserve">«questo fornitore </w:t>
      </w:r>
      <w:r>
        <w:rPr>
          <w:i/>
          <w:iCs/>
        </w:rPr>
        <w:t xml:space="preserve">può</w:t>
      </w:r>
      <w:r>
        <w:rPr>
          <w:i/>
          <w:iCs/>
        </w:rPr>
        <w:t xml:space="preserve"> lavorare per noi?»</w:t>
      </w:r>
      <w:r>
        <w:t xml:space="preserve">. È il perimetro tipico dei sistemi di gestione della conformità, ripreso qui </w:t>
      </w:r>
      <w:r>
        <w:rPr>
          <w:b/>
          <w:bCs/>
        </w:rPr>
        <w:t xml:space="preserve">solo per la parte che incide sull'assegnazione</w:t>
      </w:r>
      <w:r>
        <w:t xml:space="preserv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Documento</w:t>
            </w:r>
          </w:p>
        </w:tc>
        <w:tc>
          <w:tcPr>
            <w:tcW w:type="dxa" w:w="3353"/>
            <w:shd w:fill="E8EAF2" w:color="auto" w:val="clear"/>
            <w:tcMar>
              <w:top w:type="dxa" w:w="80"/>
              <w:left w:type="dxa" w:w="120"/>
              <w:bottom w:type="dxa" w:w="80"/>
              <w:right w:type="dxa" w:w="120"/>
            </w:tcMar>
          </w:tcPr>
          <w:p>
            <w:pPr>
              <w:spacing w:after="0" w:line="264"/>
              <w:jc w:val="center"/>
            </w:pPr>
            <w:r>
              <w:rPr>
                <w:b/>
                <w:bCs/>
                <w:color w:val="1E2748"/>
              </w:rPr>
              <w:t xml:space="preserve">Obbligatorio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Validità tipica</w:t>
            </w:r>
          </w:p>
        </w:tc>
      </w:tr>
      <w:tr>
        <w:tc>
          <w:tcPr>
            <w:tcW w:type="dxa" w:w="2608"/>
            <w:tcMar>
              <w:top w:type="dxa" w:w="80"/>
              <w:left w:type="dxa" w:w="120"/>
              <w:bottom w:type="dxa" w:w="80"/>
              <w:right w:type="dxa" w:w="120"/>
            </w:tcMar>
          </w:tcPr>
          <w:p>
            <w:pPr>
              <w:spacing w:after="0" w:line="264"/>
              <w:jc w:val="left"/>
            </w:pPr>
            <w:r>
              <w:rPr>
                <w:color w:val="18203A"/>
              </w:rPr>
              <w:t xml:space="preserve">DURC — regolarità contributiva</w:t>
            </w:r>
          </w:p>
        </w:tc>
        <w:tc>
          <w:tcPr>
            <w:tcW w:type="dxa" w:w="3353"/>
            <w:tcMar>
              <w:top w:type="dxa" w:w="80"/>
              <w:left w:type="dxa" w:w="120"/>
              <w:bottom w:type="dxa" w:w="80"/>
              <w:right w:type="dxa" w:w="120"/>
            </w:tcMar>
          </w:tcPr>
          <w:p>
            <w:pPr>
              <w:spacing w:after="0" w:line="264"/>
              <w:jc w:val="center"/>
            </w:pPr>
            <w:r>
              <w:rPr>
                <w:color w:val="18203A"/>
              </w:rPr>
              <w:t xml:space="preserve">✅</w:t>
            </w:r>
          </w:p>
        </w:tc>
        <w:tc>
          <w:tcPr>
            <w:tcW w:type="dxa" w:w="3353"/>
            <w:tcMar>
              <w:top w:type="dxa" w:w="80"/>
              <w:left w:type="dxa" w:w="120"/>
              <w:bottom w:type="dxa" w:w="80"/>
              <w:right w:type="dxa" w:w="120"/>
            </w:tcMar>
          </w:tcPr>
          <w:p>
            <w:pPr>
              <w:spacing w:after="0" w:line="264"/>
              <w:jc w:val="left"/>
            </w:pPr>
            <w:r>
              <w:rPr>
                <w:color w:val="18203A"/>
              </w:rPr>
              <w:t xml:space="preserve">4 mesi</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Polizza RCT/RCO</w:t>
            </w:r>
          </w:p>
        </w:tc>
        <w:tc>
          <w:tcPr>
            <w:tcW w:type="dxa" w:w="3353"/>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12 mesi</w:t>
            </w:r>
          </w:p>
        </w:tc>
      </w:tr>
      <w:tr>
        <w:tc>
          <w:tcPr>
            <w:tcW w:type="dxa" w:w="2608"/>
            <w:tcMar>
              <w:top w:type="dxa" w:w="80"/>
              <w:left w:type="dxa" w:w="120"/>
              <w:bottom w:type="dxa" w:w="80"/>
              <w:right w:type="dxa" w:w="120"/>
            </w:tcMar>
          </w:tcPr>
          <w:p>
            <w:pPr>
              <w:spacing w:after="0" w:line="264"/>
              <w:jc w:val="left"/>
            </w:pPr>
            <w:r>
              <w:rPr>
                <w:color w:val="18203A"/>
              </w:rPr>
              <w:t xml:space="preserve">Idoneità tecnico-professionale (art. 26 D.Lgs. 81/08)</w:t>
            </w:r>
          </w:p>
        </w:tc>
        <w:tc>
          <w:tcPr>
            <w:tcW w:type="dxa" w:w="3353"/>
            <w:tcMar>
              <w:top w:type="dxa" w:w="80"/>
              <w:left w:type="dxa" w:w="120"/>
              <w:bottom w:type="dxa" w:w="80"/>
              <w:right w:type="dxa" w:w="120"/>
            </w:tcMar>
          </w:tcPr>
          <w:p>
            <w:pPr>
              <w:spacing w:after="0" w:line="264"/>
              <w:jc w:val="center"/>
            </w:pPr>
            <w:r>
              <w:rPr>
                <w:color w:val="18203A"/>
              </w:rPr>
              <w:t xml:space="preserve">✅</w:t>
            </w:r>
          </w:p>
        </w:tc>
        <w:tc>
          <w:tcPr>
            <w:tcW w:type="dxa" w:w="3353"/>
            <w:tcMar>
              <w:top w:type="dxa" w:w="80"/>
              <w:left w:type="dxa" w:w="120"/>
              <w:bottom w:type="dxa" w:w="80"/>
              <w:right w:type="dxa" w:w="120"/>
            </w:tcMar>
          </w:tcPr>
          <w:p>
            <w:pPr>
              <w:spacing w:after="0" w:line="264"/>
              <w:jc w:val="left"/>
            </w:pPr>
            <w:r>
              <w:rPr>
                <w:color w:val="18203A"/>
              </w:rPr>
              <w:t xml:space="preserve">12 mesi</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Visura camerale</w:t>
            </w:r>
          </w:p>
        </w:tc>
        <w:tc>
          <w:tcPr>
            <w:tcW w:type="dxa" w:w="3353"/>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12 mesi</w:t>
            </w:r>
          </w:p>
        </w:tc>
      </w:tr>
      <w:tr>
        <w:tc>
          <w:tcPr>
            <w:tcW w:type="dxa" w:w="2608"/>
            <w:tcMar>
              <w:top w:type="dxa" w:w="80"/>
              <w:left w:type="dxa" w:w="120"/>
              <w:bottom w:type="dxa" w:w="80"/>
              <w:right w:type="dxa" w:w="120"/>
            </w:tcMar>
          </w:tcPr>
          <w:p>
            <w:pPr>
              <w:spacing w:after="0" w:line="264"/>
              <w:jc w:val="left"/>
            </w:pPr>
            <w:r>
              <w:rPr>
                <w:color w:val="18203A"/>
              </w:rPr>
              <w:t xml:space="preserve">ISO 9001 · ISO 45001</w:t>
            </w:r>
          </w:p>
        </w:tc>
        <w:tc>
          <w:tcPr>
            <w:tcW w:type="dxa" w:w="3353"/>
            <w:tcMar>
              <w:top w:type="dxa" w:w="80"/>
              <w:left w:type="dxa" w:w="120"/>
              <w:bottom w:type="dxa" w:w="80"/>
              <w:right w:type="dxa" w:w="120"/>
            </w:tcMar>
          </w:tcPr>
          <w:p>
            <w:pPr>
              <w:spacing w:after="0" w:line="264"/>
              <w:jc w:val="center"/>
            </w:pPr>
            <w:r>
              <w:rPr>
                <w:color w:val="18203A"/>
              </w:rPr>
              <w:t xml:space="preserve">❌</w:t>
            </w:r>
          </w:p>
        </w:tc>
        <w:tc>
          <w:tcPr>
            <w:tcW w:type="dxa" w:w="3353"/>
            <w:tcMar>
              <w:top w:type="dxa" w:w="80"/>
              <w:left w:type="dxa" w:w="120"/>
              <w:bottom w:type="dxa" w:w="80"/>
              <w:right w:type="dxa" w:w="120"/>
            </w:tcMar>
          </w:tcPr>
          <w:p>
            <w:pPr>
              <w:spacing w:after="0" w:line="264"/>
              <w:jc w:val="left"/>
            </w:pPr>
            <w:r>
              <w:rPr>
                <w:color w:val="18203A"/>
              </w:rPr>
              <w:t xml:space="preserve">36 mesi</w:t>
            </w:r>
          </w:p>
        </w:tc>
      </w:tr>
    </w:tbl>
    <w:p>
      <w:pPr>
        <w:spacing w:after="200"/>
      </w:pPr>
    </w:p>
    <w:p>
      <w:pPr>
        <w:spacing w:after="140" w:line="288"/>
      </w:pPr>
      <w:r>
        <w:rPr>
          <w:b/>
          <w:bCs/>
        </w:rPr>
        <w:t xml:space="preserve">La qualifica non è un campo digitato</w:t>
      </w:r>
      <w:r>
        <w:t xml:space="preserve">: è calcolata dai documenti.</w:t>
      </w:r>
    </w:p>
    <w:p>
      <w:pPr>
        <w:spacing w:after="60" w:before="120"/>
        <w:jc w:val="center"/>
      </w:pPr>
      <w:r>
        <w:drawing>
          <wp:inline distT="0" distB="0" distL="0" distR="0">
            <wp:extent cx="5372100"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72100" cy="7181850"/>
                    </a:xfrm>
                    <a:prstGeom prst="rect">
                      <a:avLst/>
                    </a:prstGeom>
                  </pic:spPr>
                </pic:pic>
              </a:graphicData>
            </a:graphic>
          </wp:inline>
        </w:drawing>
      </w:r>
    </w:p>
    <w:p>
      <w:pPr>
        <w:spacing w:after="200"/>
        <w:jc w:val="center"/>
      </w:pPr>
      <w:r>
        <w:rPr>
          <w:i/>
          <w:iCs/>
          <w:color w:val="7A8199"/>
          <w:sz w:val="17"/>
          <w:szCs w:val="17"/>
        </w:rPr>
        <w:t xml:space="preserve">Diagramma 6</w:t>
      </w:r>
    </w:p>
    <w:p>
      <w:pPr>
        <w:spacing w:after="140" w:line="288"/>
      </w:pPr>
      <w:r>
        <w:rPr>
          <w:b/>
          <w:bCs/>
        </w:rPr>
        <w:t xml:space="preserve">Dove agisce</w:t>
      </w:r>
      <w:r>
        <w:t xml:space="preserve"> — è ciò che distingue una funzione reale da una scheda informativa:</w:t>
      </w:r>
    </w:p>
    <w:p>
      <w:pPr>
        <w:pStyle w:val="ListParagraph"/>
        <w:numPr>
          <w:ilvl w:val="0"/>
          <w:numId w:val="2"/>
        </w:numPr>
        <w:spacing w:after="80" w:line="288"/>
      </w:pPr>
      <w:r>
        <w:rPr>
          <w:b/>
          <w:bCs/>
        </w:rPr>
        <w:t xml:space="preserve">Suggerimento fornitori</w:t>
      </w:r>
      <w:r>
        <w:t xml:space="preserve">: i non qualificati non compaiono, e il modulo di invito dichiara </w:t>
      </w:r>
      <w:r>
        <w:rPr>
          <w:b/>
          <w:bCs/>
        </w:rPr>
        <w:t xml:space="preserve">quanti</w:t>
      </w:r>
      <w:r>
        <w:t xml:space="preserve"> sono esclusi e </w:t>
      </w:r>
      <w:r>
        <w:rPr>
          <w:b/>
          <w:bCs/>
        </w:rPr>
        <w:t xml:space="preserve">perché</w:t>
      </w:r>
      <w:r>
        <w:t xml:space="preserve"> (mai una sparizione muta).</w:t>
      </w:r>
    </w:p>
    <w:p>
      <w:pPr>
        <w:pStyle w:val="ListParagraph"/>
        <w:numPr>
          <w:ilvl w:val="0"/>
          <w:numId w:val="2"/>
        </w:numPr>
        <w:spacing w:after="80" w:line="288"/>
      </w:pPr>
      <w:r>
        <w:rPr>
          <w:b/>
          <w:bCs/>
        </w:rPr>
        <w:t xml:space="preserve">Assegnazione manuale</w:t>
      </w:r>
      <w:r>
        <w:t xml:space="preserve">: bloccata, con il motivo esplicito. Il controllo è nella funzione, non solo nel nascondere il pulsante.</w:t>
      </w:r>
    </w:p>
    <w:p>
      <w:pPr>
        <w:pStyle w:val="ListParagraph"/>
        <w:numPr>
          <w:ilvl w:val="0"/>
          <w:numId w:val="2"/>
        </w:numPr>
        <w:spacing w:after="80" w:line="288"/>
      </w:pPr>
      <w:r>
        <w:rPr>
          <w:b/>
          <w:bCs/>
        </w:rPr>
        <w:t xml:space="preserve">Assegnazione ottima</w:t>
      </w:r>
      <w:r>
        <w:t xml:space="preserve">: li salta.</w:t>
      </w:r>
    </w:p>
    <w:p>
      <w:pPr>
        <w:pStyle w:val="ListParagraph"/>
        <w:numPr>
          <w:ilvl w:val="0"/>
          <w:numId w:val="2"/>
        </w:numPr>
        <w:spacing w:after="80" w:line="288"/>
      </w:pPr>
      <w:r>
        <w:rPr>
          <w:b/>
          <w:bCs/>
        </w:rPr>
        <w:t xml:space="preserve">Cruscotto</w:t>
      </w:r>
      <w:r>
        <w:t xml:space="preserve">: un indicatore conta i </w:t>
      </w:r>
      <w:r>
        <w:rPr>
          <w:i/>
          <w:iCs/>
        </w:rPr>
        <w:t xml:space="preserve">fornitori non in regola</w:t>
      </w:r>
      <w:r>
        <w:t xml:space="preserve"> e porta all'elenco già filtrato.</w:t>
      </w:r>
    </w:p>
    <w:p>
      <w:pPr>
        <w:pStyle w:val="ListParagraph"/>
        <w:numPr>
          <w:ilvl w:val="0"/>
          <w:numId w:val="2"/>
        </w:numPr>
        <w:spacing w:after="80" w:line="288"/>
      </w:pPr>
      <w:r>
        <w:rPr>
          <w:b/>
          <w:bCs/>
        </w:rPr>
        <w:t xml:space="preserve">Profilo del fornitore</w:t>
      </w:r>
      <w:r>
        <w:t xml:space="preserve">: vede il proprio stato e cosa gli manca.</w:t>
      </w:r>
    </w:p>
    <w:p>
      <w:pPr>
        <w:spacing w:after="120"/>
      </w:pPr>
    </w:p>
    <w:p>
      <w:pPr>
        <w:spacing w:after="140" w:line="288"/>
      </w:pPr>
      <w:r>
        <w:rPr>
          <w:b/>
          <w:bCs/>
        </w:rPr>
        <w:t xml:space="preserve">Il ciclo del documento</w:t>
      </w:r>
    </w:p>
    <w:p>
      <w:pPr>
        <w:spacing w:after="60" w:before="120"/>
        <w:jc w:val="center"/>
      </w:pPr>
      <w:r>
        <w:drawing>
          <wp:inline distT="0" distB="0" distL="0" distR="0">
            <wp:extent cx="53721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72100" cy="4191000"/>
                    </a:xfrm>
                    <a:prstGeom prst="rect">
                      <a:avLst/>
                    </a:prstGeom>
                  </pic:spPr>
                </pic:pic>
              </a:graphicData>
            </a:graphic>
          </wp:inline>
        </w:drawing>
      </w:r>
    </w:p>
    <w:p>
      <w:pPr>
        <w:spacing w:after="200"/>
        <w:jc w:val="center"/>
      </w:pPr>
      <w:r>
        <w:rPr>
          <w:i/>
          <w:iCs/>
          <w:color w:val="7A8199"/>
          <w:sz w:val="17"/>
          <w:szCs w:val="17"/>
        </w:rPr>
        <w:t xml:space="preserve">Diagramma 7</w:t>
      </w:r>
    </w:p>
    <w:p>
      <w:pPr>
        <w:spacing w:after="140" w:line="288"/>
      </w:pPr>
      <w:r>
        <w:t xml:space="preserve">Un documento </w:t>
      </w:r>
      <w:r>
        <w:rPr>
          <w:b/>
          <w:bCs/>
        </w:rPr>
        <w:t xml:space="preserve">in verifica</w:t>
      </w:r>
      <w:r>
        <w:t xml:space="preserve"> con scadenza futura </w:t>
      </w:r>
      <w:r>
        <w:rPr>
          <w:b/>
          <w:bCs/>
        </w:rPr>
        <w:t xml:space="preserve">copre</w:t>
      </w:r>
      <w:r>
        <w:t xml:space="preserve"> il requisito: è stato consegnato, manca solo il controllo. Se invece è già scaduto, la scadenza vince.</w:t>
      </w:r>
    </w:p>
    <w:p>
      <w:pPr>
        <w:spacing w:after="140" w:line="288"/>
      </w:pPr>
      <w:r>
        <w:rPr>
          <w:b/>
          <w:bCs/>
        </w:rPr>
        <w:t xml:space="preserve">Chi fa cosa</w:t>
      </w:r>
      <w:r>
        <w:t xml:space="preserve">: il fornitore vede </w:t>
      </w:r>
      <w:r>
        <w:rPr>
          <w:b/>
          <w:bCs/>
        </w:rPr>
        <w:t xml:space="preserve">solo i propri</w:t>
      </w:r>
      <w:r>
        <w:t xml:space="preserve"> documenti e può comunicare un rinnovo; il </w:t>
      </w:r>
      <w:r>
        <w:rPr>
          <w:b/>
          <w:bCs/>
        </w:rPr>
        <w:t xml:space="preserve">responsabile</w:t>
      </w:r>
      <w:r>
        <w:t xml:space="preserve"> registra, verifica o respinge; il </w:t>
      </w:r>
      <w:r>
        <w:rPr>
          <w:b/>
          <w:bCs/>
        </w:rPr>
        <w:t xml:space="preserve">caposquadra consulta</w:t>
      </w:r>
      <w:r>
        <w:t xml:space="preserve"> ma non modifica, coerentemente con la regola dell'anagrafica.</w:t>
      </w:r>
    </w:p>
    <w:p>
      <w:pPr>
        <w:pStyle w:val="Heading2"/>
        <w:spacing w:after="120" w:before="240"/>
      </w:pPr>
      <w:r>
        <w:t xml:space="preserve">3.8 Consegna con autorizzazione</w:t>
      </w:r>
    </w:p>
    <w:p>
      <w:pPr>
        <w:spacing w:after="140" w:line="288"/>
      </w:pPr>
      <w:r>
        <w:t xml:space="preserve">Il fornitore </w:t>
      </w:r>
      <w:r>
        <w:rPr>
          <w:b/>
          <w:bCs/>
        </w:rPr>
        <w:t xml:space="preserve">non chiude da solo</w:t>
      </w:r>
      <w:r>
        <w:t xml:space="preserve">. Quando è pronto chiede l'autorizzazione; solo dopo l'ok compare </w:t>
      </w:r>
      <w:r>
        <w:rPr>
          <w:i/>
          <w:iCs/>
        </w:rPr>
        <w:t xml:space="preserve">Segna consegnato</w:t>
      </w:r>
      <w:r>
        <w:t xml:space="preserve">.</w:t>
      </w:r>
    </w:p>
    <w:p>
      <w:pPr>
        <w:spacing w:after="60" w:before="120"/>
        <w:jc w:val="center"/>
      </w:pPr>
      <w:r>
        <w:drawing>
          <wp:inline distT="0" distB="0" distL="0" distR="0">
            <wp:extent cx="5372100" cy="711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72100" cy="7115175"/>
                    </a:xfrm>
                    <a:prstGeom prst="rect">
                      <a:avLst/>
                    </a:prstGeom>
                  </pic:spPr>
                </pic:pic>
              </a:graphicData>
            </a:graphic>
          </wp:inline>
        </w:drawing>
      </w:r>
    </w:p>
    <w:p>
      <w:pPr>
        <w:spacing w:after="200"/>
        <w:jc w:val="center"/>
      </w:pPr>
      <w:r>
        <w:rPr>
          <w:i/>
          <w:iCs/>
          <w:color w:val="7A8199"/>
          <w:sz w:val="17"/>
          <w:szCs w:val="17"/>
        </w:rPr>
        <w:t xml:space="preserve">Diagramma 8</w:t>
      </w:r>
    </w:p>
    <w:p>
      <w:pPr>
        <w:spacing w:after="140" w:line="288"/>
      </w:pPr>
      <w:r>
        <w:t xml:space="preserve">Il </w:t>
      </w:r>
      <w:r>
        <w:rPr>
          <w:b/>
          <w:bCs/>
        </w:rPr>
        <w:t xml:space="preserve">rientro effettivo</w:t>
      </w:r>
      <w:r>
        <w:t xml:space="preserve"> registrato alla consegna alimenta la puntualità: è un dato di fatto, non una valutazione.</w:t>
      </w:r>
    </w:p>
    <w:p>
      <w:pPr>
        <w:pStyle w:val="Heading2"/>
        <w:spacing w:after="120" w:before="240"/>
      </w:pPr>
      <w:r>
        <w:t xml:space="preserve">3.9 Metriche del fornitore</w:t>
      </w:r>
    </w:p>
    <w:p>
      <w:pPr>
        <w:spacing w:after="140" w:line="288"/>
      </w:pPr>
      <w:r>
        <w:t xml:space="preserve">Calcolate dai lavori, </w:t>
      </w:r>
      <w:r>
        <w:rPr>
          <w:b/>
          <w:bCs/>
        </w:rPr>
        <w:t xml:space="preserve">mai inserite a mano</w:t>
      </w:r>
      <w:r>
        <w:t xml:space="preserve">, e </w:t>
      </w:r>
      <w:r>
        <w:rPr>
          <w:b/>
          <w:bCs/>
        </w:rPr>
        <w:t xml:space="preserve">identiche</w:t>
      </w:r>
      <w:r>
        <w:t xml:space="preserve"> nelle due viste — è ciò che le rende condivisibili in una discussione.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Metrica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Definizione</w:t>
            </w:r>
          </w:p>
        </w:tc>
      </w:tr>
      <w:tr>
        <w:tc>
          <w:tcPr>
            <w:tcW w:type="dxa" w:w="3167"/>
            <w:tcMar>
              <w:top w:type="dxa" w:w="80"/>
              <w:left w:type="dxa" w:w="120"/>
              <w:bottom w:type="dxa" w:w="80"/>
              <w:right w:type="dxa" w:w="120"/>
            </w:tcMar>
          </w:tcPr>
          <w:p>
            <w:pPr>
              <w:spacing w:after="0" w:line="264"/>
              <w:jc w:val="left"/>
            </w:pPr>
            <w:r>
              <w:rPr>
                <w:b/>
                <w:bCs/>
                <w:color w:val="18203A"/>
              </w:rPr>
              <w:t xml:space="preserve">Puntualità</w:t>
            </w:r>
          </w:p>
        </w:tc>
        <w:tc>
          <w:tcPr>
            <w:tcW w:type="dxa" w:w="6147"/>
            <w:tcMar>
              <w:top w:type="dxa" w:w="80"/>
              <w:left w:type="dxa" w:w="120"/>
              <w:bottom w:type="dxa" w:w="80"/>
              <w:right w:type="dxa" w:w="120"/>
            </w:tcMar>
          </w:tcPr>
          <w:p>
            <w:pPr>
              <w:spacing w:after="0" w:line="264"/>
              <w:jc w:val="left"/>
            </w:pPr>
            <w:r>
              <w:rPr>
                <w:color w:val="18203A"/>
              </w:rPr>
              <w:t xml:space="preserve">% di consegne con rientro effettivo ≤ rientro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Ritardo medio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Giorni medi di ritardo sulle sole consegne in ritardo</w:t>
            </w:r>
          </w:p>
        </w:tc>
      </w:tr>
      <w:tr>
        <w:tc>
          <w:tcPr>
            <w:tcW w:type="dxa" w:w="3167"/>
            <w:tcMar>
              <w:top w:type="dxa" w:w="80"/>
              <w:left w:type="dxa" w:w="120"/>
              <w:bottom w:type="dxa" w:w="80"/>
              <w:right w:type="dxa" w:w="120"/>
            </w:tcMar>
          </w:tcPr>
          <w:p>
            <w:pPr>
              <w:spacing w:after="0" w:line="264"/>
              <w:jc w:val="left"/>
            </w:pPr>
            <w:r>
              <w:rPr>
                <w:b/>
                <w:bCs/>
                <w:color w:val="18203A"/>
              </w:rPr>
              <w:t xml:space="preserve">Lavori / mese</w:t>
            </w:r>
          </w:p>
        </w:tc>
        <w:tc>
          <w:tcPr>
            <w:tcW w:type="dxa" w:w="6147"/>
            <w:tcMar>
              <w:top w:type="dxa" w:w="80"/>
              <w:left w:type="dxa" w:w="120"/>
              <w:bottom w:type="dxa" w:w="80"/>
              <w:right w:type="dxa" w:w="120"/>
            </w:tcMar>
          </w:tcPr>
          <w:p>
            <w:pPr>
              <w:spacing w:after="0" w:line="264"/>
              <w:jc w:val="left"/>
            </w:pPr>
            <w:r>
              <w:rPr>
                <w:color w:val="18203A"/>
              </w:rPr>
              <w:t xml:space="preserve">Commesse assegnate ÷ mesi di attività</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Tasso di accettazione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Accettate ÷ invitate</w:t>
            </w:r>
          </w:p>
        </w:tc>
      </w:tr>
      <w:tr>
        <w:tc>
          <w:tcPr>
            <w:tcW w:type="dxa" w:w="3167"/>
            <w:tcMar>
              <w:top w:type="dxa" w:w="80"/>
              <w:left w:type="dxa" w:w="120"/>
              <w:bottom w:type="dxa" w:w="80"/>
              <w:right w:type="dxa" w:w="120"/>
            </w:tcMar>
          </w:tcPr>
          <w:p>
            <w:pPr>
              <w:spacing w:after="0" w:line="264"/>
              <w:jc w:val="left"/>
            </w:pPr>
            <w:r>
              <w:rPr>
                <w:b/>
                <w:bCs/>
                <w:color w:val="18203A"/>
              </w:rPr>
              <w:t xml:space="preserve">Tempo di risposta</w:t>
            </w:r>
          </w:p>
        </w:tc>
        <w:tc>
          <w:tcPr>
            <w:tcW w:type="dxa" w:w="6147"/>
            <w:tcMar>
              <w:top w:type="dxa" w:w="80"/>
              <w:left w:type="dxa" w:w="120"/>
              <w:bottom w:type="dxa" w:w="80"/>
              <w:right w:type="dxa" w:w="120"/>
            </w:tcMar>
          </w:tcPr>
          <w:p>
            <w:pPr>
              <w:spacing w:after="0" w:line="264"/>
              <w:jc w:val="left"/>
            </w:pPr>
            <w:r>
              <w:rPr>
                <w:color w:val="18203A"/>
              </w:rPr>
              <w:t xml:space="preserve">Giorni medi tra pubblicazione e accettazione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Valore attivo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Somma degli importi delle commesse in corso</w:t>
            </w:r>
          </w:p>
        </w:tc>
      </w:tr>
      <w:tr>
        <w:tc>
          <w:tcPr>
            <w:tcW w:type="dxa" w:w="3167"/>
            <w:tcMar>
              <w:top w:type="dxa" w:w="80"/>
              <w:left w:type="dxa" w:w="120"/>
              <w:bottom w:type="dxa" w:w="80"/>
              <w:right w:type="dxa" w:w="120"/>
            </w:tcMar>
          </w:tcPr>
          <w:p>
            <w:pPr>
              <w:spacing w:after="0" w:line="264"/>
              <w:jc w:val="left"/>
            </w:pPr>
            <w:r>
              <w:rPr>
                <w:b/>
                <w:bCs/>
                <w:color w:val="18203A"/>
              </w:rPr>
              <w:t xml:space="preserve">Extra</w:t>
            </w:r>
          </w:p>
        </w:tc>
        <w:tc>
          <w:tcPr>
            <w:tcW w:type="dxa" w:w="6147"/>
            <w:tcMar>
              <w:top w:type="dxa" w:w="80"/>
              <w:left w:type="dxa" w:w="120"/>
              <w:bottom w:type="dxa" w:w="80"/>
              <w:right w:type="dxa" w:w="120"/>
            </w:tcMar>
          </w:tcPr>
          <w:p>
            <w:pPr>
              <w:spacing w:after="0" w:line="264"/>
              <w:jc w:val="left"/>
            </w:pPr>
            <w:r>
              <w:rPr>
                <w:color w:val="18203A"/>
              </w:rPr>
              <w:t xml:space="preserve">% di commesse con extra e scostamento % sul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Carico ore / saturazione</w:t>
            </w:r>
          </w:p>
        </w:tc>
        <w:tc>
          <w:tcPr>
            <w:tcW w:type="dxa" w:w="6147"/>
            <w:shd w:fill="F5F6FA" w:color="auto" w:val="clear"/>
            <w:tcMar>
              <w:top w:type="dxa" w:w="80"/>
              <w:left w:type="dxa" w:w="120"/>
              <w:bottom w:type="dxa" w:w="80"/>
              <w:right w:type="dxa" w:w="120"/>
            </w:tcMar>
          </w:tcPr>
          <w:p>
            <w:pPr>
              <w:spacing w:after="0" w:line="264"/>
              <w:jc w:val="left"/>
            </w:pPr>
            <w:r>
              <w:rPr>
                <w:i/>
                <w:iCs/>
                <w:color w:val="18203A"/>
              </w:rPr>
              <w:t xml:space="preserve">Solo Righi</w:t>
            </w:r>
          </w:p>
        </w:tc>
      </w:tr>
    </w:tbl>
    <w:p>
      <w:pPr>
        <w:spacing w:after="200"/>
      </w:pPr>
    </w:p>
    <w:p>
      <w:pPr>
        <w:pStyle w:val="Heading2"/>
        <w:spacing w:after="120" w:before="240"/>
      </w:pPr>
      <w:r>
        <w:t xml:space="preserve">3.10 Comunicazione verso l'esterno: il magic link</w:t>
      </w:r>
    </w:p>
    <w:p>
      <w:pPr>
        <w:spacing w:after="140" w:line="288"/>
      </w:pPr>
      <w:r>
        <w:t xml:space="preserve">Un fornitore poco pratico del portale non scopre da solo che è arrivata una risposta. Il portale quindi </w:t>
      </w:r>
      <w:r>
        <w:rPr>
          <w:b/>
          <w:bCs/>
        </w:rPr>
        <w:t xml:space="preserve">spinge</w:t>
      </w:r>
      <w:r>
        <w:t xml:space="preserve">, non aspetta.</w:t>
      </w:r>
    </w:p>
    <w:p>
      <w:pPr>
        <w:spacing w:after="60" w:before="120"/>
        <w:jc w:val="center"/>
      </w:pPr>
      <w:r>
        <w:drawing>
          <wp:inline distT="0" distB="0" distL="0" distR="0">
            <wp:extent cx="53721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72100" cy="1485900"/>
                    </a:xfrm>
                    <a:prstGeom prst="rect">
                      <a:avLst/>
                    </a:prstGeom>
                  </pic:spPr>
                </pic:pic>
              </a:graphicData>
            </a:graphic>
          </wp:inline>
        </w:drawing>
      </w:r>
    </w:p>
    <w:p>
      <w:pPr>
        <w:spacing w:after="200"/>
        <w:jc w:val="center"/>
      </w:pPr>
      <w:r>
        <w:rPr>
          <w:i/>
          <w:iCs/>
          <w:color w:val="7A8199"/>
          <w:sz w:val="17"/>
          <w:szCs w:val="17"/>
        </w:rPr>
        <w:t xml:space="preserve">Diagramma 9</w:t>
      </w:r>
    </w:p>
    <w:p>
      <w:pPr>
        <w:pStyle w:val="ListParagraph"/>
        <w:numPr>
          <w:ilvl w:val="0"/>
          <w:numId w:val="3"/>
        </w:numPr>
        <w:spacing w:after="80" w:line="288"/>
      </w:pPr>
      <w:r>
        <w:t xml:space="preserve">Il link porta </w:t>
      </w:r>
      <w:r>
        <w:rPr>
          <w:b/>
          <w:bCs/>
        </w:rPr>
        <w:t xml:space="preserve">direttamente alla pagina finale</w:t>
      </w:r>
      <w:r>
        <w:t xml:space="preserve"> — la commessa da accettare, la richiesta a cui rispondere — </w:t>
      </w:r>
      <w:r>
        <w:rPr>
          <w:b/>
          <w:bCs/>
        </w:rPr>
        <w:t xml:space="preserve">senza passare dal login</w:t>
      </w:r>
      <w:r>
        <w:t xml:space="preserve">.</w:t>
      </w:r>
    </w:p>
    <w:p>
      <w:pPr>
        <w:pStyle w:val="ListParagraph"/>
        <w:numPr>
          <w:ilvl w:val="0"/>
          <w:numId w:val="3"/>
        </w:numPr>
        <w:spacing w:after="80" w:line="288"/>
      </w:pPr>
      <w:r>
        <w:t xml:space="preserve">L'invio a più fornitori è </w:t>
      </w:r>
      <w:r>
        <w:rPr>
          <w:b/>
          <w:bCs/>
        </w:rPr>
        <w:t xml:space="preserve">personalizzato</w:t>
      </w:r>
      <w:r>
        <w:t xml:space="preserve">: un messaggio a testa, con il </w:t>
      </w:r>
      <w:r>
        <w:rPr>
          <w:b/>
          <w:bCs/>
        </w:rPr>
        <w:t xml:space="preserve">proprio</w:t>
      </w:r>
      <w:r>
        <w:t xml:space="preserve"> link e il </w:t>
      </w:r>
      <w:r>
        <w:rPr>
          <w:b/>
          <w:bCs/>
        </w:rPr>
        <w:t xml:space="preserve">solo</w:t>
      </w:r>
      <w:r>
        <w:t xml:space="preserve"> proprio indirizzo. Più riservato di una copia nascosta, perché ogni email ha un unico destinatario.</w:t>
      </w:r>
    </w:p>
    <w:p>
      <w:pPr>
        <w:pStyle w:val="ListParagraph"/>
        <w:numPr>
          <w:ilvl w:val="0"/>
          <w:numId w:val="3"/>
        </w:numPr>
        <w:spacing w:after="80" w:line="288"/>
      </w:pPr>
      <w:r>
        <w:rPr>
          <w:b/>
          <w:bCs/>
        </w:rPr>
        <w:t xml:space="preserve">Il link identifica, non autorizza</w:t>
      </w:r>
      <w:r>
        <w:t xml:space="preserve">: un codice commessa non è una password. Prima di aprire, il portale verifica sempre il diritto di vedere quel contenuto.</w:t>
      </w:r>
    </w:p>
    <w:p>
      <w:pPr>
        <w:pStyle w:val="ListParagraph"/>
        <w:numPr>
          <w:ilvl w:val="0"/>
          <w:numId w:val="3"/>
        </w:numPr>
        <w:spacing w:after="80" w:line="288"/>
      </w:pPr>
      <w:r>
        <w:t xml:space="preserve">L'identità viene </w:t>
      </w:r>
      <w:r>
        <w:rPr>
          <w:b/>
          <w:bCs/>
        </w:rPr>
        <w:t xml:space="preserve">ripulita dall'URL</w:t>
      </w:r>
      <w:r>
        <w:t xml:space="preserve"> subito dopo l'accesso.</w:t>
      </w:r>
    </w:p>
    <w:p>
      <w:pPr>
        <w:spacing w:after="120"/>
      </w:pPr>
    </w:p>
    <w:p>
      <w:pPr>
        <w:pStyle w:val="Heading2"/>
        <w:spacing w:after="120" w:before="240"/>
      </w:pPr>
      <w:r>
        <w:t xml:space="preserve">3.11 Il linguaggio sonoro</w:t>
      </w:r>
    </w:p>
    <w:p>
      <w:pPr>
        <w:spacing w:after="140" w:line="288"/>
      </w:pPr>
      <w:r>
        <w:t xml:space="preserve">Chi usa il portale tutto il giorno non guarda lo schermo a ogni clic: lo tiene aperto mentre parla al telefono, mentre cammina in reparto, mentre compila altro. Il suono è il canale che conferma </w:t>
      </w:r>
      <w:r>
        <w:rPr>
          <w:b/>
          <w:bCs/>
        </w:rPr>
        <w:t xml:space="preserve">senza chiedere attenzione</w:t>
      </w:r>
      <w:r>
        <w:t xml:space="preserve">. Per questo non è un abbellimento aggiunto alla fine, ma un linguaggio con una grammatica: chi lo ha sentito tre volte lo capisce senza che nessuno glielo spieghi.</w:t>
      </w:r>
    </w:p>
    <w:p>
      <w:pPr>
        <w:spacing w:after="140" w:line="288"/>
      </w:pPr>
      <w:r>
        <w:rPr>
          <w:b/>
          <w:bCs/>
        </w:rPr>
        <w:t xml:space="preserve">Le regole della famiglia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Regola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Perché</w:t>
            </w:r>
          </w:p>
        </w:tc>
      </w:tr>
      <w:tr>
        <w:tc>
          <w:tcPr>
            <w:tcW w:type="dxa" w:w="3167"/>
            <w:tcMar>
              <w:top w:type="dxa" w:w="80"/>
              <w:left w:type="dxa" w:w="120"/>
              <w:bottom w:type="dxa" w:w="80"/>
              <w:right w:type="dxa" w:w="120"/>
            </w:tcMar>
          </w:tcPr>
          <w:p>
            <w:pPr>
              <w:spacing w:after="0" w:line="264"/>
              <w:jc w:val="left"/>
            </w:pPr>
            <w:r>
              <w:rPr>
                <w:b/>
                <w:bCs/>
                <w:color w:val="18203A"/>
              </w:rPr>
              <w:t xml:space="preserve">Una sola voce</w:t>
            </w:r>
            <w:r>
              <w:rPr>
                <w:color w:val="18203A"/>
              </w:rPr>
              <w:t xml:space="preserve"> — sinusoide con la sua ottava di rinforzo, attacco di 6 ms, coda esponenziale</w:t>
            </w:r>
          </w:p>
        </w:tc>
        <w:tc>
          <w:tcPr>
            <w:tcW w:type="dxa" w:w="6147"/>
            <w:tcMar>
              <w:top w:type="dxa" w:w="80"/>
              <w:left w:type="dxa" w:w="120"/>
              <w:bottom w:type="dxa" w:w="80"/>
              <w:right w:type="dxa" w:w="120"/>
            </w:tcMar>
          </w:tcPr>
          <w:p>
            <w:pPr>
              <w:spacing w:after="0" w:line="264"/>
              <w:jc w:val="left"/>
            </w:pPr>
            <w:r>
              <w:rPr>
                <w:color w:val="18203A"/>
              </w:rPr>
              <w:t xml:space="preserve">Cambia la melodia, non il timbro: tutti i suoni si riconoscono come "del portale"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Una sola scala</w:t>
            </w:r>
            <w:r>
              <w:rPr>
                <w:color w:val="18203A"/>
              </w:rPr>
              <w:t xml:space="preserve"> — pentatonica di DO (DO RE MI SOL LA)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Due note qualsiasi di questa scala non stonano: anche due suoni sovrapposti restano gradevoli</w:t>
            </w:r>
          </w:p>
        </w:tc>
      </w:tr>
      <w:tr>
        <w:tc>
          <w:tcPr>
            <w:tcW w:type="dxa" w:w="3167"/>
            <w:tcMar>
              <w:top w:type="dxa" w:w="80"/>
              <w:left w:type="dxa" w:w="120"/>
              <w:bottom w:type="dxa" w:w="80"/>
              <w:right w:type="dxa" w:w="120"/>
            </w:tcMar>
          </w:tcPr>
          <w:p>
            <w:pPr>
              <w:spacing w:after="0" w:line="264"/>
              <w:jc w:val="left"/>
            </w:pPr>
            <w:r>
              <w:rPr>
                <w:b/>
                <w:bCs/>
                <w:color w:val="18203A"/>
              </w:rPr>
              <w:t xml:space="preserve">La direzione è il significato</w:t>
            </w:r>
            <w:r>
              <w:rPr>
                <w:color w:val="18203A"/>
              </w:rPr>
              <w:t xml:space="preserve"> — sale / scende</w:t>
            </w:r>
          </w:p>
        </w:tc>
        <w:tc>
          <w:tcPr>
            <w:tcW w:type="dxa" w:w="6147"/>
            <w:tcMar>
              <w:top w:type="dxa" w:w="80"/>
              <w:left w:type="dxa" w:w="120"/>
              <w:bottom w:type="dxa" w:w="80"/>
              <w:right w:type="dxa" w:w="120"/>
            </w:tcMar>
          </w:tcPr>
          <w:p>
            <w:pPr>
              <w:spacing w:after="0" w:line="264"/>
              <w:jc w:val="left"/>
            </w:pPr>
            <w:r>
              <w:rPr>
                <w:color w:val="18203A"/>
              </w:rPr>
              <w:t xml:space="preserve">Si impara senza manuale: sale = è andato avanti, scende = è stato negato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La durata è il peso</w:t>
            </w:r>
            <w:r>
              <w:rPr>
                <w:color w:val="18203A"/>
              </w:rPr>
              <w:t xml:space="preserve"> — 90 ms per un tocco, 250-350 ms per una conferma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Un suono lungo su un'azione minore stanca già al terzo ascolto</w:t>
            </w:r>
          </w:p>
        </w:tc>
      </w:tr>
      <w:tr>
        <w:tc>
          <w:tcPr>
            <w:tcW w:type="dxa" w:w="3167"/>
            <w:tcMar>
              <w:top w:type="dxa" w:w="80"/>
              <w:left w:type="dxa" w:w="120"/>
              <w:bottom w:type="dxa" w:w="80"/>
              <w:right w:type="dxa" w:w="120"/>
            </w:tcMar>
          </w:tcPr>
          <w:p>
            <w:pPr>
              <w:spacing w:after="0" w:line="264"/>
              <w:jc w:val="left"/>
            </w:pPr>
            <w:r>
              <w:rPr>
                <w:b/>
                <w:bCs/>
                <w:color w:val="18203A"/>
              </w:rPr>
              <w:t xml:space="preserve">Un solo eroe</w:t>
            </w:r>
            <w:r>
              <w:rPr>
                <w:color w:val="18203A"/>
              </w:rPr>
              <w:t xml:space="preserve"> — solo l'assegnazione ha la coda lunga (~0,7 s)</w:t>
            </w:r>
          </w:p>
        </w:tc>
        <w:tc>
          <w:tcPr>
            <w:tcW w:type="dxa" w:w="6147"/>
            <w:tcMar>
              <w:top w:type="dxa" w:w="80"/>
              <w:left w:type="dxa" w:w="120"/>
              <w:bottom w:type="dxa" w:w="80"/>
              <w:right w:type="dxa" w:w="120"/>
            </w:tcMar>
          </w:tcPr>
          <w:p>
            <w:pPr>
              <w:spacing w:after="0" w:line="264"/>
              <w:jc w:val="left"/>
            </w:pPr>
            <w:r>
              <w:rPr>
                <w:color w:val="18203A"/>
              </w:rPr>
              <w:t xml:space="preserve">Se tutto è importante, niente è importante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Volumi bassi</w:t>
            </w:r>
            <w:r>
              <w:rPr>
                <w:color w:val="18203A"/>
              </w:rPr>
              <w:t xml:space="preserve"> — nessuna voce oltre 0,20 sul bus</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Si lavora in ufficio e in officina: il suono conferma, non annuncia</w:t>
            </w:r>
          </w:p>
        </w:tc>
      </w:tr>
    </w:tbl>
    <w:p>
      <w:pPr>
        <w:spacing w:after="200"/>
      </w:pPr>
    </w:p>
    <w:p>
      <w:pPr>
        <w:spacing w:after="60" w:before="120"/>
        <w:jc w:val="center"/>
      </w:pPr>
      <w:r>
        <w:drawing>
          <wp:inline distT="0" distB="0" distL="0" distR="0">
            <wp:extent cx="5372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72100" cy="2476500"/>
                    </a:xfrm>
                    <a:prstGeom prst="rect">
                      <a:avLst/>
                    </a:prstGeom>
                  </pic:spPr>
                </pic:pic>
              </a:graphicData>
            </a:graphic>
          </wp:inline>
        </w:drawing>
      </w:r>
    </w:p>
    <w:p>
      <w:pPr>
        <w:spacing w:after="200"/>
        <w:jc w:val="center"/>
      </w:pPr>
      <w:r>
        <w:rPr>
          <w:i/>
          <w:iCs/>
          <w:color w:val="7A8199"/>
          <w:sz w:val="17"/>
          <w:szCs w:val="17"/>
        </w:rPr>
        <w:t xml:space="preserve">Diagramma 10</w:t>
      </w:r>
    </w:p>
    <w:p>
      <w:pPr>
        <w:spacing w:after="140" w:line="288"/>
      </w:pPr>
      <w:r>
        <w:rPr>
          <w:b/>
          <w:bCs/>
        </w:rPr>
        <w:t xml:space="preserve">Il repertorio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Suono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Quando si sente</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Forma</w:t>
            </w:r>
          </w:p>
        </w:tc>
      </w:tr>
      <w:tr>
        <w:tc>
          <w:tcPr>
            <w:tcW w:type="dxa" w:w="2608"/>
            <w:tcMar>
              <w:top w:type="dxa" w:w="80"/>
              <w:left w:type="dxa" w:w="120"/>
              <w:bottom w:type="dxa" w:w="80"/>
              <w:right w:type="dxa" w:w="120"/>
            </w:tcMar>
          </w:tcPr>
          <w:p>
            <w:pPr>
              <w:spacing w:after="0" w:line="264"/>
              <w:jc w:val="left"/>
            </w:pPr>
            <w:r>
              <w:rPr>
                <w:b/>
                <w:bCs/>
                <w:color w:val="18203A"/>
              </w:rPr>
              <w:t xml:space="preserve">Assegnazione</w:t>
            </w:r>
          </w:p>
        </w:tc>
        <w:tc>
          <w:tcPr>
            <w:tcW w:type="dxa" w:w="3353"/>
            <w:tcMar>
              <w:top w:type="dxa" w:w="80"/>
              <w:left w:type="dxa" w:w="120"/>
              <w:bottom w:type="dxa" w:w="80"/>
              <w:right w:type="dxa" w:w="120"/>
            </w:tcMar>
          </w:tcPr>
          <w:p>
            <w:pPr>
              <w:spacing w:after="0" w:line="264"/>
              <w:jc w:val="left"/>
            </w:pPr>
            <w:r>
              <w:rPr>
                <w:color w:val="18203A"/>
              </w:rPr>
              <w:t xml:space="preserve">Una commessa viene affidata a un fornitore (singola o in blocco)</w:t>
            </w:r>
          </w:p>
        </w:tc>
        <w:tc>
          <w:tcPr>
            <w:tcW w:type="dxa" w:w="3353"/>
            <w:tcMar>
              <w:top w:type="dxa" w:w="80"/>
              <w:left w:type="dxa" w:w="120"/>
              <w:bottom w:type="dxa" w:w="80"/>
              <w:right w:type="dxa" w:w="120"/>
            </w:tcMar>
          </w:tcPr>
          <w:p>
            <w:pPr>
              <w:spacing w:after="0" w:line="264"/>
              <w:jc w:val="left"/>
            </w:pPr>
            <w:r>
              <w:rPr>
                <w:color w:val="18203A"/>
              </w:rPr>
              <w:t xml:space="preserve">DO MI SOL che risolve sul DO acuto, con un velo d'aria sotto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Accettazione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accetta e firma la proposta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Due note aperte, ascendenti</w:t>
            </w:r>
          </w:p>
        </w:tc>
      </w:tr>
      <w:tr>
        <w:tc>
          <w:tcPr>
            <w:tcW w:type="dxa" w:w="2608"/>
            <w:tcMar>
              <w:top w:type="dxa" w:w="80"/>
              <w:left w:type="dxa" w:w="120"/>
              <w:bottom w:type="dxa" w:w="80"/>
              <w:right w:type="dxa" w:w="120"/>
            </w:tcMar>
          </w:tcPr>
          <w:p>
            <w:pPr>
              <w:spacing w:after="0" w:line="264"/>
              <w:jc w:val="left"/>
            </w:pPr>
            <w:r>
              <w:rPr>
                <w:b/>
                <w:bCs/>
                <w:color w:val="18203A"/>
              </w:rPr>
              <w:t xml:space="preserve">Approvazione</w:t>
            </w:r>
          </w:p>
        </w:tc>
        <w:tc>
          <w:tcPr>
            <w:tcW w:type="dxa" w:w="3353"/>
            <w:tcMar>
              <w:top w:type="dxa" w:w="80"/>
              <w:left w:type="dxa" w:w="120"/>
              <w:bottom w:type="dxa" w:w="80"/>
              <w:right w:type="dxa" w:w="120"/>
            </w:tcMar>
          </w:tcPr>
          <w:p>
            <w:pPr>
              <w:spacing w:after="0" w:line="264"/>
              <w:jc w:val="left"/>
            </w:pPr>
            <w:r>
              <w:rPr>
                <w:color w:val="18203A"/>
              </w:rPr>
              <w:t xml:space="preserve">Commessa approvata, slittamento o extra approvato, consegna autorizzata, documento verificato</w:t>
            </w:r>
          </w:p>
        </w:tc>
        <w:tc>
          <w:tcPr>
            <w:tcW w:type="dxa" w:w="3353"/>
            <w:tcMar>
              <w:top w:type="dxa" w:w="80"/>
              <w:left w:type="dxa" w:w="120"/>
              <w:bottom w:type="dxa" w:w="80"/>
              <w:right w:type="dxa" w:w="120"/>
            </w:tcMar>
          </w:tcPr>
          <w:p>
            <w:pPr>
              <w:spacing w:after="0" w:line="264"/>
              <w:jc w:val="left"/>
            </w:pPr>
            <w:r>
              <w:rPr>
                <w:color w:val="18203A"/>
              </w:rPr>
              <w:t xml:space="preserve">Quinta breve che sale all'ottava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Diniego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Commessa rimandata al caposquadra, slittamento o extra rifiutato, documento respinto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 stessa quinta, discendente e più opaca</w:t>
            </w:r>
          </w:p>
        </w:tc>
      </w:tr>
      <w:tr>
        <w:tc>
          <w:tcPr>
            <w:tcW w:type="dxa" w:w="2608"/>
            <w:tcMar>
              <w:top w:type="dxa" w:w="80"/>
              <w:left w:type="dxa" w:w="120"/>
              <w:bottom w:type="dxa" w:w="80"/>
              <w:right w:type="dxa" w:w="120"/>
            </w:tcMar>
          </w:tcPr>
          <w:p>
            <w:pPr>
              <w:spacing w:after="0" w:line="264"/>
              <w:jc w:val="left"/>
            </w:pPr>
            <w:r>
              <w:rPr>
                <w:b/>
                <w:bCs/>
                <w:color w:val="18203A"/>
              </w:rPr>
              <w:t xml:space="preserve">Pubblicazione</w:t>
            </w:r>
          </w:p>
        </w:tc>
        <w:tc>
          <w:tcPr>
            <w:tcW w:type="dxa" w:w="3353"/>
            <w:tcMar>
              <w:top w:type="dxa" w:w="80"/>
              <w:left w:type="dxa" w:w="120"/>
              <w:bottom w:type="dxa" w:w="80"/>
              <w:right w:type="dxa" w:w="120"/>
            </w:tcMar>
          </w:tcPr>
          <w:p>
            <w:pPr>
              <w:spacing w:after="0" w:line="264"/>
              <w:jc w:val="left"/>
            </w:pPr>
            <w:r>
              <w:rPr>
                <w:color w:val="18203A"/>
              </w:rPr>
              <w:t xml:space="preserve">Una commessa esce verso i fornitori (pubblicazione o notifica)</w:t>
            </w:r>
          </w:p>
        </w:tc>
        <w:tc>
          <w:tcPr>
            <w:tcW w:type="dxa" w:w="3353"/>
            <w:tcMar>
              <w:top w:type="dxa" w:w="80"/>
              <w:left w:type="dxa" w:w="120"/>
              <w:bottom w:type="dxa" w:w="80"/>
              <w:right w:type="dxa" w:w="120"/>
            </w:tcMar>
          </w:tcPr>
          <w:p>
            <w:pPr>
              <w:spacing w:after="0" w:line="264"/>
              <w:jc w:val="left"/>
            </w:pPr>
            <w:r>
              <w:rPr>
                <w:color w:val="18203A"/>
              </w:rPr>
              <w:t xml:space="preserve">Soffio d'aria in salita e una nota che si stacca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Richiesta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chiede qualcosa a Righi (richiesta guidata, approvazione consegna, documento)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Salita ampia, tono interrogativo</w:t>
            </w:r>
          </w:p>
        </w:tc>
      </w:tr>
      <w:tr>
        <w:tc>
          <w:tcPr>
            <w:tcW w:type="dxa" w:w="2608"/>
            <w:tcMar>
              <w:top w:type="dxa" w:w="80"/>
              <w:left w:type="dxa" w:w="120"/>
              <w:bottom w:type="dxa" w:w="80"/>
              <w:right w:type="dxa" w:w="120"/>
            </w:tcMar>
          </w:tcPr>
          <w:p>
            <w:pPr>
              <w:spacing w:after="0" w:line="264"/>
              <w:jc w:val="left"/>
            </w:pPr>
            <w:r>
              <w:rPr>
                <w:b/>
                <w:bCs/>
                <w:color w:val="18203A"/>
              </w:rPr>
              <w:t xml:space="preserve">Avanzamento</w:t>
            </w:r>
          </w:p>
        </w:tc>
        <w:tc>
          <w:tcPr>
            <w:tcW w:type="dxa" w:w="3353"/>
            <w:tcMar>
              <w:top w:type="dxa" w:w="80"/>
              <w:left w:type="dxa" w:w="120"/>
              <w:bottom w:type="dxa" w:w="80"/>
              <w:right w:type="dxa" w:w="120"/>
            </w:tcMar>
          </w:tcPr>
          <w:p>
            <w:pPr>
              <w:spacing w:after="0" w:line="264"/>
              <w:jc w:val="left"/>
            </w:pPr>
            <w:r>
              <w:rPr>
                <w:color w:val="18203A"/>
              </w:rPr>
              <w:t xml:space="preserve">Il fornitore aggiorna la lavorazione</w:t>
            </w:r>
          </w:p>
        </w:tc>
        <w:tc>
          <w:tcPr>
            <w:tcW w:type="dxa" w:w="3353"/>
            <w:tcMar>
              <w:top w:type="dxa" w:w="80"/>
              <w:left w:type="dxa" w:w="120"/>
              <w:bottom w:type="dxa" w:w="80"/>
              <w:right w:type="dxa" w:w="120"/>
            </w:tcMar>
          </w:tcPr>
          <w:p>
            <w:pPr>
              <w:spacing w:after="0" w:line="264"/>
              <w:jc w:val="left"/>
            </w:pPr>
            <w:r>
              <w:rPr>
                <w:color w:val="18203A"/>
              </w:rPr>
              <w:t xml:space="preserve">Due note vicine, come un passo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Messaggio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Risposta rapida o domanda inviata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Una sola nota alta e corta</w:t>
            </w:r>
          </w:p>
        </w:tc>
      </w:tr>
      <w:tr>
        <w:tc>
          <w:tcPr>
            <w:tcW w:type="dxa" w:w="2608"/>
            <w:tcMar>
              <w:top w:type="dxa" w:w="80"/>
              <w:left w:type="dxa" w:w="120"/>
              <w:bottom w:type="dxa" w:w="80"/>
              <w:right w:type="dxa" w:w="120"/>
            </w:tcMar>
          </w:tcPr>
          <w:p>
            <w:pPr>
              <w:spacing w:after="0" w:line="264"/>
              <w:jc w:val="left"/>
            </w:pPr>
            <w:r>
              <w:rPr>
                <w:b/>
                <w:bCs/>
                <w:color w:val="18203A"/>
              </w:rPr>
              <w:t xml:space="preserve">Notifica</w:t>
            </w:r>
          </w:p>
        </w:tc>
        <w:tc>
          <w:tcPr>
            <w:tcW w:type="dxa" w:w="3353"/>
            <w:tcMar>
              <w:top w:type="dxa" w:w="80"/>
              <w:left w:type="dxa" w:w="120"/>
              <w:bottom w:type="dxa" w:w="80"/>
              <w:right w:type="dxa" w:w="120"/>
            </w:tcMar>
          </w:tcPr>
          <w:p>
            <w:pPr>
              <w:spacing w:after="0" w:line="264"/>
              <w:jc w:val="left"/>
            </w:pPr>
            <w:r>
              <w:rPr>
                <w:color w:val="18203A"/>
              </w:rPr>
              <w:t xml:space="preserve">Si apre la campanella con avvisi non letti</w:t>
            </w:r>
          </w:p>
        </w:tc>
        <w:tc>
          <w:tcPr>
            <w:tcW w:type="dxa" w:w="3353"/>
            <w:tcMar>
              <w:top w:type="dxa" w:w="80"/>
              <w:left w:type="dxa" w:w="120"/>
              <w:bottom w:type="dxa" w:w="80"/>
              <w:right w:type="dxa" w:w="120"/>
            </w:tcMar>
          </w:tcPr>
          <w:p>
            <w:pPr>
              <w:spacing w:after="0" w:line="264"/>
              <w:jc w:val="left"/>
            </w:pPr>
            <w:r>
              <w:rPr>
                <w:color w:val="18203A"/>
              </w:rPr>
              <w:t xml:space="preserve">Campanello acuto in salita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Email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L'avviso viene consegnato al programma di 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Soffio breve e nota alta</w:t>
            </w:r>
          </w:p>
        </w:tc>
      </w:tr>
      <w:tr>
        <w:tc>
          <w:tcPr>
            <w:tcW w:type="dxa" w:w="2608"/>
            <w:tcMar>
              <w:top w:type="dxa" w:w="80"/>
              <w:left w:type="dxa" w:w="120"/>
              <w:bottom w:type="dxa" w:w="80"/>
              <w:right w:type="dxa" w:w="120"/>
            </w:tcMar>
          </w:tcPr>
          <w:p>
            <w:pPr>
              <w:spacing w:after="0" w:line="264"/>
              <w:jc w:val="left"/>
            </w:pPr>
            <w:r>
              <w:rPr>
                <w:b/>
                <w:bCs/>
                <w:color w:val="18203A"/>
              </w:rPr>
              <w:t xml:space="preserve">Completato</w:t>
            </w:r>
          </w:p>
        </w:tc>
        <w:tc>
          <w:tcPr>
            <w:tcW w:type="dxa" w:w="3353"/>
            <w:tcMar>
              <w:top w:type="dxa" w:w="80"/>
              <w:left w:type="dxa" w:w="120"/>
              <w:bottom w:type="dxa" w:w="80"/>
              <w:right w:type="dxa" w:w="120"/>
            </w:tcMar>
          </w:tcPr>
          <w:p>
            <w:pPr>
              <w:spacing w:after="0" w:line="264"/>
              <w:jc w:val="left"/>
            </w:pPr>
            <w:r>
              <w:rPr>
                <w:color w:val="18203A"/>
              </w:rPr>
              <w:t xml:space="preserve">Commessa consegnata, pratica chiusa</w:t>
            </w:r>
          </w:p>
        </w:tc>
        <w:tc>
          <w:tcPr>
            <w:tcW w:type="dxa" w:w="3353"/>
            <w:tcMar>
              <w:top w:type="dxa" w:w="80"/>
              <w:left w:type="dxa" w:w="120"/>
              <w:bottom w:type="dxa" w:w="80"/>
              <w:right w:type="dxa" w:w="120"/>
            </w:tcMar>
          </w:tcPr>
          <w:p>
            <w:pPr>
              <w:spacing w:after="0" w:line="264"/>
              <w:jc w:val="left"/>
            </w:pPr>
            <w:r>
              <w:rPr>
                <w:color w:val="18203A"/>
              </w:rPr>
              <w:t xml:space="preserve">Accordo grave che risolve in alto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Tocco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Cambi di stato leggeri (date, documenti, presa in carico)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Nota singola brevissima, volume minimo</w:t>
            </w:r>
          </w:p>
        </w:tc>
      </w:tr>
      <w:tr>
        <w:tc>
          <w:tcPr>
            <w:tcW w:type="dxa" w:w="2608"/>
            <w:tcMar>
              <w:top w:type="dxa" w:w="80"/>
              <w:left w:type="dxa" w:w="120"/>
              <w:bottom w:type="dxa" w:w="80"/>
              <w:right w:type="dxa" w:w="120"/>
            </w:tcMar>
          </w:tcPr>
          <w:p>
            <w:pPr>
              <w:spacing w:after="0" w:line="264"/>
              <w:jc w:val="left"/>
            </w:pPr>
            <w:r>
              <w:rPr>
                <w:b/>
                <w:bCs/>
                <w:color w:val="18203A"/>
              </w:rPr>
              <w:t xml:space="preserve">Avviso</w:t>
            </w:r>
          </w:p>
        </w:tc>
        <w:tc>
          <w:tcPr>
            <w:tcW w:type="dxa" w:w="3353"/>
            <w:tcMar>
              <w:top w:type="dxa" w:w="80"/>
              <w:left w:type="dxa" w:w="120"/>
              <w:bottom w:type="dxa" w:w="80"/>
              <w:right w:type="dxa" w:w="120"/>
            </w:tcMar>
          </w:tcPr>
          <w:p>
            <w:pPr>
              <w:spacing w:after="0" w:line="264"/>
              <w:jc w:val="left"/>
            </w:pPr>
            <w:r>
              <w:rPr>
                <w:color w:val="18203A"/>
              </w:rPr>
              <w:t xml:space="preserve">Qualsiasi azione bloccata</w:t>
            </w:r>
          </w:p>
        </w:tc>
        <w:tc>
          <w:tcPr>
            <w:tcW w:type="dxa" w:w="3353"/>
            <w:tcMar>
              <w:top w:type="dxa" w:w="80"/>
              <w:left w:type="dxa" w:w="120"/>
              <w:bottom w:type="dxa" w:w="80"/>
              <w:right w:type="dxa" w:w="120"/>
            </w:tcMar>
          </w:tcPr>
          <w:p>
            <w:pPr>
              <w:spacing w:after="0" w:line="264"/>
              <w:jc w:val="left"/>
            </w:pPr>
            <w:r>
              <w:rPr>
                <w:color w:val="18203A"/>
              </w:rPr>
              <w:t xml:space="preserve">Discesa morbida, mai allarmante</w:t>
            </w:r>
          </w:p>
        </w:tc>
      </w:tr>
    </w:tbl>
    <w:p>
      <w:pPr>
        <w:spacing w:after="200"/>
      </w:pPr>
    </w:p>
    <w:p>
      <w:pPr>
        <w:spacing w:after="140" w:line="288"/>
      </w:pPr>
      <w:r>
        <w:rPr>
          <w:b/>
          <w:bCs/>
        </w:rPr>
        <w:t xml:space="preserve">Come sono fatti e come si governano</w:t>
      </w:r>
    </w:p>
    <w:p>
      <w:pPr>
        <w:pStyle w:val="ListParagraph"/>
        <w:numPr>
          <w:ilvl w:val="0"/>
          <w:numId w:val="3"/>
        </w:numPr>
        <w:spacing w:after="80" w:line="288"/>
      </w:pPr>
      <w:r>
        <w:rPr>
          <w:b/>
          <w:bCs/>
        </w:rPr>
        <w:t xml:space="preserve">Sintetizzati con Web Audio, nessun file audio</w:t>
      </w:r>
      <w:r>
        <w:t xml:space="preserve">: il portale resta un unico file autosufficiente e non scarica nulla. Un suono costa zero byte.</w:t>
      </w:r>
    </w:p>
    <w:p>
      <w:pPr>
        <w:pStyle w:val="ListParagraph"/>
        <w:numPr>
          <w:ilvl w:val="0"/>
          <w:numId w:val="3"/>
        </w:numPr>
        <w:spacing w:after="80" w:line="288"/>
      </w:pPr>
      <w:r>
        <w:rPr>
          <w:b/>
          <w:bCs/>
        </w:rPr>
        <w:t xml:space="preserve">L'avviso lo suona il messaggio in basso</w:t>
      </w:r>
      <w:r>
        <w:t xml:space="preserve">: ogni azione bloccata avvisa allo stesso modo, senza dover ricordare una chiamata in ogni punto del codice. Se l'azione ha già suonato il proprio esito (per esempio un diniego), non si raddoppia.</w:t>
      </w:r>
    </w:p>
    <w:p>
      <w:pPr>
        <w:pStyle w:val="ListParagraph"/>
        <w:numPr>
          <w:ilvl w:val="0"/>
          <w:numId w:val="3"/>
        </w:numPr>
        <w:spacing w:after="80" w:line="288"/>
      </w:pPr>
      <w:r>
        <w:rPr>
          <w:b/>
          <w:bCs/>
        </w:rPr>
        <w:t xml:space="preserve">Anti-raffica</w:t>
      </w:r>
      <w:r>
        <w:t xml:space="preserve">: lo stesso suono non si somma a sé stesso entro 90 ms, così un doppio clic non produce un rimbombo.</w:t>
      </w:r>
    </w:p>
    <w:p>
      <w:pPr>
        <w:pStyle w:val="ListParagraph"/>
        <w:numPr>
          <w:ilvl w:val="0"/>
          <w:numId w:val="3"/>
        </w:numPr>
        <w:spacing w:after="80" w:line="288"/>
      </w:pPr>
      <w:r>
        <w:rPr>
          <w:b/>
          <w:bCs/>
        </w:rPr>
        <w:t xml:space="preserve">Interruttore in barra</w:t>
      </w:r>
      <w:r>
        <w:t xml:space="preserve">: l'altoparlante in alto spegne e riaccende tutto; la scelta è memorizzata sul dispositivo. Il contesto audio nasce al primo clic — prima non esiste, e nulla suona al caricamento o navigando fra le schede.</w:t>
      </w:r>
    </w:p>
    <w:p>
      <w:pPr>
        <w:pStyle w:val="ListParagraph"/>
        <w:numPr>
          <w:ilvl w:val="0"/>
          <w:numId w:val="3"/>
        </w:numPr>
        <w:spacing w:after="80" w:line="288"/>
      </w:pPr>
      <w:r>
        <w:rPr>
          <w:b/>
          <w:bCs/>
        </w:rPr>
        <w:t xml:space="preserve">Ambienti senza audio</w:t>
      </w:r>
      <w:r>
        <w:t xml:space="preserve"> (browser vecchi, test in Node): il portale funziona identico, i suoni semplicemente non partono.</w:t>
      </w:r>
    </w:p>
    <w:p>
      <w:pPr>
        <w:spacing w:after="120"/>
      </w:pPr>
    </w:p>
    <w:p>
      <w:pPr>
        <w:pStyle w:val="Heading1"/>
        <w:pageBreakBefore/>
        <w:pBdr>
          <w:bottom w:val="single" w:color="C4661A" w:sz="6" w:space="6"/>
        </w:pBdr>
        <w:spacing w:after="120" w:before="320"/>
      </w:pPr>
      <w:r>
        <w:t xml:space="preserve">4. Specifiche tecniche</w:t>
      </w:r>
    </w:p>
    <w:p>
      <w:pPr>
        <w:pStyle w:val="Heading2"/>
        <w:spacing w:after="120" w:before="240"/>
      </w:pPr>
      <w:r>
        <w:t xml:space="preserve">4.1 Architettura</w:t>
      </w:r>
    </w:p>
    <w:p>
      <w:pPr>
        <w:spacing w:after="140" w:line="288"/>
      </w:pPr>
      <w:r>
        <w:t xml:space="preserve">Applicazione </w:t>
      </w:r>
      <w:r>
        <w:rPr>
          <w:b/>
          <w:bCs/>
        </w:rPr>
        <w:t xml:space="preserve">a file unico</w:t>
      </w:r>
      <w:r>
        <w:t xml:space="preserve">: nessuna dipendenza esterna, nessun font o immagine remota, nessun processo di build necessario per l'esecuzione.</w:t>
      </w:r>
    </w:p>
    <w:p>
      <w:pPr>
        <w:spacing w:after="60" w:before="120"/>
        <w:jc w:val="center"/>
      </w:pPr>
      <w:r>
        <w:drawing>
          <wp:inline distT="0" distB="0" distL="0" distR="0">
            <wp:extent cx="53721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72100" cy="4953000"/>
                    </a:xfrm>
                    <a:prstGeom prst="rect">
                      <a:avLst/>
                    </a:prstGeom>
                  </pic:spPr>
                </pic:pic>
              </a:graphicData>
            </a:graphic>
          </wp:inline>
        </w:drawing>
      </w:r>
    </w:p>
    <w:p>
      <w:pPr>
        <w:spacing w:after="200"/>
        <w:jc w:val="center"/>
      </w:pPr>
      <w:r>
        <w:rPr>
          <w:i/>
          <w:iCs/>
          <w:color w:val="7A8199"/>
          <w:sz w:val="17"/>
          <w:szCs w:val="17"/>
        </w:rPr>
        <w:t xml:space="preserve">Diagramma 11</w:t>
      </w:r>
    </w:p>
    <w:p>
      <w:pPr>
        <w:spacing w:after="140" w:line="288"/>
      </w:pPr>
      <w:r>
        <w:rPr>
          <w:b/>
          <w:bCs/>
        </w:rPr>
        <w:t xml:space="preserve">Scelte strutturali</w:t>
      </w:r>
    </w:p>
    <w:p>
      <w:pPr>
        <w:pStyle w:val="ListParagraph"/>
        <w:numPr>
          <w:ilvl w:val="0"/>
          <w:numId w:val="3"/>
        </w:numPr>
        <w:spacing w:after="80" w:line="288"/>
      </w:pPr>
      <w:r>
        <w:rPr>
          <w:b/>
          <w:bCs/>
        </w:rPr>
        <w:t xml:space="preserve">Un solo gestore di eventi</w:t>
      </w:r>
      <w:r>
        <w:t xml:space="preserve"> in delega: ogni elemento interattivo dichiara </w:t>
      </w:r>
      <w:r>
        <w:rPr>
          <w:rFonts w:ascii="Consolas" w:cs="Consolas" w:eastAsia="Consolas" w:hAnsi="Consolas"/>
          <w:color w:val="C4661A"/>
          <w:sz w:val="19"/>
          <w:szCs w:val="19"/>
        </w:rPr>
        <w:t xml:space="preserve">data-act</w:t>
      </w:r>
      <w:r>
        <w:t xml:space="preserve">, un unico </w:t>
      </w:r>
      <w:r>
        <w:rPr>
          <w:rFonts w:ascii="Consolas" w:cs="Consolas" w:eastAsia="Consolas" w:hAnsi="Consolas"/>
          <w:color w:val="C4661A"/>
          <w:sz w:val="19"/>
          <w:szCs w:val="19"/>
        </w:rPr>
        <w:t xml:space="preserve">switch</w:t>
      </w:r>
      <w:r>
        <w:t xml:space="preserve"> instrada. Verificabile automaticamente che non esistano pulsanti privi di effetto né gestori senza pulsante.</w:t>
      </w:r>
    </w:p>
    <w:p>
      <w:pPr>
        <w:pStyle w:val="ListParagraph"/>
        <w:numPr>
          <w:ilvl w:val="0"/>
          <w:numId w:val="3"/>
        </w:numPr>
        <w:spacing w:after="80" w:line="288"/>
      </w:pPr>
      <w:r>
        <w:rPr>
          <w:b/>
          <w:bCs/>
        </w:rPr>
        <w:t xml:space="preserve">Render integrale per ruolo</w:t>
      </w:r>
      <w:r>
        <w:t xml:space="preserve">: </w:t>
      </w:r>
      <w:r>
        <w:rPr>
          <w:rFonts w:ascii="Consolas" w:cs="Consolas" w:eastAsia="Consolas" w:hAnsi="Consolas"/>
          <w:color w:val="C4661A"/>
          <w:sz w:val="19"/>
          <w:szCs w:val="19"/>
        </w:rPr>
        <w:t xml:space="preserve">render()</w:t>
      </w:r>
      <w:r>
        <w:t xml:space="preserve"> ricostruisce la vista dallo stato; non esiste stato dell'interfaccia separato da quello dei dati.</w:t>
      </w:r>
    </w:p>
    <w:p>
      <w:pPr>
        <w:pStyle w:val="ListParagraph"/>
        <w:numPr>
          <w:ilvl w:val="0"/>
          <w:numId w:val="3"/>
        </w:numPr>
        <w:spacing w:after="80" w:line="288"/>
      </w:pPr>
      <w:r>
        <w:rPr>
          <w:b/>
          <w:bCs/>
        </w:rPr>
        <w:t xml:space="preserve">Nessuna emoji</w:t>
      </w:r>
      <w:r>
        <w:t xml:space="preserve">: icone SVG in linea (mappa </w:t>
      </w:r>
      <w:r>
        <w:rPr>
          <w:rFonts w:ascii="Consolas" w:cs="Consolas" w:eastAsia="Consolas" w:hAnsi="Consolas"/>
          <w:color w:val="C4661A"/>
          <w:sz w:val="19"/>
          <w:szCs w:val="19"/>
        </w:rPr>
        <w:t xml:space="preserve">IC</w:t>
      </w:r>
      <w:r>
        <w:t xml:space="preserve">), per resa uniforme e stampa.</w:t>
      </w:r>
    </w:p>
    <w:p>
      <w:pPr>
        <w:pStyle w:val="ListParagraph"/>
        <w:numPr>
          <w:ilvl w:val="0"/>
          <w:numId w:val="3"/>
        </w:numPr>
        <w:spacing w:after="80" w:line="288"/>
      </w:pPr>
      <w:r>
        <w:rPr>
          <w:b/>
          <w:bCs/>
        </w:rPr>
        <w:t xml:space="preserve">Suoni sintetizzati, non registrati</w:t>
      </w:r>
      <w:r>
        <w:t xml:space="preserve">: il modulo </w:t>
      </w:r>
      <w:r>
        <w:rPr>
          <w:rFonts w:ascii="Consolas" w:cs="Consolas" w:eastAsia="Consolas" w:hAnsi="Consolas"/>
          <w:color w:val="C4661A"/>
          <w:sz w:val="19"/>
          <w:szCs w:val="19"/>
        </w:rPr>
        <w:t xml:space="preserve">Sfx</w:t>
      </w:r>
      <w:r>
        <w:t xml:space="preserve"> genera le note con Web Audio (vedi §3.11); nessun file audio da scaricare, il file resta uno solo.</w:t>
      </w:r>
    </w:p>
    <w:p>
      <w:pPr>
        <w:pStyle w:val="ListParagraph"/>
        <w:numPr>
          <w:ilvl w:val="0"/>
          <w:numId w:val="3"/>
        </w:numPr>
        <w:spacing w:after="80" w:line="288"/>
      </w:pPr>
      <w:r>
        <w:rPr>
          <w:b/>
          <w:bCs/>
        </w:rPr>
        <w:t xml:space="preserve">Offline-first</w:t>
      </w:r>
      <w:r>
        <w:t xml:space="preserve">: PWA con service worker; i dati restano sul dispositivo.</w:t>
      </w:r>
    </w:p>
    <w:p>
      <w:pPr>
        <w:spacing w:after="120"/>
      </w:pPr>
    </w:p>
    <w:p>
      <w:pPr>
        <w:pStyle w:val="Heading2"/>
        <w:spacing w:after="120" w:before="240"/>
      </w:pPr>
      <w:r>
        <w:t xml:space="preserve">4.2 Modello dati</w:t>
      </w:r>
    </w:p>
    <w:p>
      <w:pPr>
        <w:spacing w:after="60" w:before="120"/>
        <w:jc w:val="center"/>
      </w:pPr>
      <w:r>
        <w:drawing>
          <wp:inline distT="0" distB="0" distL="0" distR="0">
            <wp:extent cx="5372100" cy="588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72100" cy="5886450"/>
                    </a:xfrm>
                    <a:prstGeom prst="rect">
                      <a:avLst/>
                    </a:prstGeom>
                  </pic:spPr>
                </pic:pic>
              </a:graphicData>
            </a:graphic>
          </wp:inline>
        </w:drawing>
      </w:r>
    </w:p>
    <w:p>
      <w:pPr>
        <w:spacing w:after="200"/>
        <w:jc w:val="center"/>
      </w:pPr>
      <w:r>
        <w:rPr>
          <w:i/>
          <w:iCs/>
          <w:color w:val="7A8199"/>
          <w:sz w:val="17"/>
          <w:szCs w:val="17"/>
        </w:rPr>
        <w:t xml:space="preserve">Diagramma 12</w:t>
      </w:r>
    </w:p>
    <w:p>
      <w:pPr>
        <w:spacing w:after="140" w:line="288"/>
      </w:pPr>
      <w:r>
        <w:rPr>
          <w:b/>
          <w:bCs/>
        </w:rPr>
        <w:t xml:space="preserve">Regole di derivazione</w:t>
      </w:r>
      <w:r>
        <w:t xml:space="preserve"> (calcolate, mai memorizzate due volte):</w:t>
      </w:r>
    </w:p>
    <w:p>
      <w:pPr>
        <w:shd w:fill="F5F6FA" w:color="auto" w:val="clear"/>
        <w:spacing w:after="0" w:line="240"/>
        <w:ind w:left="200"/>
      </w:pPr>
      <w:r>
        <w:rPr>
          <w:rFonts w:ascii="Consolas" w:cs="Consolas" w:eastAsia="Consolas" w:hAnsi="Consolas"/>
          <w:color w:val="18203A"/>
          <w:sz w:val="17"/>
          <w:szCs w:val="17"/>
        </w:rPr>
        <w:t xml:space="preserve">importo_base    = importo accettato, altrimenti budget</w:t>
      </w:r>
    </w:p>
    <w:p>
      <w:pPr>
        <w:shd w:fill="F5F6FA" w:color="auto" w:val="clear"/>
        <w:spacing w:after="0" w:line="240"/>
        <w:ind w:left="200"/>
      </w:pPr>
      <w:r>
        <w:rPr>
          <w:rFonts w:ascii="Consolas" w:cs="Consolas" w:eastAsia="Consolas" w:hAnsi="Consolas"/>
          <w:color w:val="18203A"/>
          <w:sz w:val="17"/>
          <w:szCs w:val="17"/>
        </w:rPr>
        <w:t xml:space="preserve">importo_finale  = importo_base + somma(extra approvati)</w:t>
      </w:r>
    </w:p>
    <w:p>
      <w:pPr>
        <w:shd w:fill="F5F6FA" w:color="auto" w:val="clear"/>
        <w:spacing w:after="0" w:line="240"/>
        <w:ind w:left="200"/>
      </w:pPr>
      <w:r>
        <w:rPr>
          <w:rFonts w:ascii="Consolas" w:cs="Consolas" w:eastAsia="Consolas" w:hAnsi="Consolas"/>
          <w:color w:val="18203A"/>
          <w:sz w:val="17"/>
          <w:szCs w:val="17"/>
        </w:rPr>
        <w:t xml:space="preserve">ore_totali      = ore_stimate + somma(ore degli extra)</w:t>
      </w:r>
    </w:p>
    <w:p>
      <w:pPr>
        <w:shd w:fill="F5F6FA" w:color="auto" w:val="clear"/>
        <w:spacing w:after="0" w:line="240"/>
        <w:ind w:left="200"/>
      </w:pPr>
      <w:r>
        <w:rPr>
          <w:rFonts w:ascii="Consolas" w:cs="Consolas" w:eastAsia="Consolas" w:hAnsi="Consolas"/>
          <w:color w:val="18203A"/>
          <w:sz w:val="17"/>
          <w:szCs w:val="17"/>
        </w:rPr>
        <w:t xml:space="preserve">soglia_extra    = 10% di importo_base</w:t>
      </w:r>
    </w:p>
    <w:p>
      <w:pPr>
        <w:shd w:fill="F5F6FA" w:color="auto" w:val="clear"/>
        <w:spacing w:after="0" w:line="240"/>
        <w:ind w:left="200"/>
      </w:pPr>
      <w:r>
        <w:rPr>
          <w:rFonts w:ascii="Consolas" w:cs="Consolas" w:eastAsia="Consolas" w:hAnsi="Consolas"/>
          <w:color w:val="18203A"/>
          <w:sz w:val="17"/>
          <w:szCs w:val="17"/>
        </w:rPr>
        <w:t xml:space="preserve">carico(mese)    = somma ore_totali delle commesse attive con rientro in quel mese</w:t>
      </w:r>
    </w:p>
    <w:p>
      <w:pPr>
        <w:shd w:fill="F5F6FA" w:color="auto" w:val="clear"/>
        <w:spacing w:after="0" w:line="240"/>
        <w:ind w:left="200"/>
      </w:pPr>
      <w:r>
        <w:rPr>
          <w:rFonts w:ascii="Consolas" w:cs="Consolas" w:eastAsia="Consolas" w:hAnsi="Consolas"/>
          <w:color w:val="18203A"/>
          <w:sz w:val="17"/>
          <w:szCs w:val="17"/>
        </w:rPr>
        <w:t xml:space="preserve">capacità_libera = capacità_mensile − carico(mese)</w:t>
      </w:r>
    </w:p>
    <w:p>
      <w:pPr>
        <w:spacing w:after="160"/>
      </w:pPr>
    </w:p>
    <w:p>
      <w:pPr>
        <w:pStyle w:val="Heading2"/>
        <w:spacing w:after="120" w:before="240"/>
      </w:pPr>
      <w:r>
        <w:t xml:space="preserve">4.3 Ottimizzazione: il portale come grafo</w:t>
      </w:r>
    </w:p>
    <w:p>
      <w:pPr>
        <w:spacing w:after="140" w:line="288"/>
      </w:pPr>
      <w:r>
        <w:t xml:space="preserve">Lo stato è naturalmente un grafo (fornitori, commesse, richieste, inviti). Tre applicazioni concrete:</w:t>
      </w:r>
    </w:p>
    <w:p>
      <w:pPr>
        <w:spacing w:after="140" w:line="288"/>
      </w:pPr>
      <w:r>
        <w:rPr>
          <w:b/>
          <w:bCs/>
        </w:rPr>
        <w:t xml:space="preserve">a) Indice ad adiacenze — prestazioni.</w:t>
      </w:r>
      <w:r>
        <w:t xml:space="preserve"> Ricostruito una volta per versione dello stato, con memoizzazione delle metriche. Il render, prima quadratico (ogni riga riscandiva tutte le commesse), è ora lineare: a 1000 commesse </w:t>
      </w:r>
      <w:r>
        <w:rPr>
          <w:b/>
          <w:bCs/>
        </w:rPr>
        <w:t xml:space="preserve">circa 10 volte più veloce</w:t>
      </w:r>
      <w:r>
        <w:t xml:space="preserve"> (73 ms → 7 ms), a parità di risultati verificata da test di invarianza.</w:t>
      </w:r>
    </w:p>
    <w:p>
      <w:pPr>
        <w:spacing w:after="140" w:line="288"/>
      </w:pPr>
      <w:r>
        <w:rPr>
          <w:b/>
          <w:bCs/>
        </w:rPr>
        <w:t xml:space="preserve">b) Assegnazione ottima — matching di peso massimo.</w:t>
      </w:r>
    </w:p>
    <w:p>
      <w:pPr>
        <w:spacing w:after="60" w:before="120"/>
        <w:jc w:val="center"/>
      </w:pPr>
      <w:r>
        <w:drawing>
          <wp:inline distT="0" distB="0" distL="0" distR="0">
            <wp:extent cx="53721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72100" cy="3448050"/>
                    </a:xfrm>
                    <a:prstGeom prst="rect">
                      <a:avLst/>
                    </a:prstGeom>
                  </pic:spPr>
                </pic:pic>
              </a:graphicData>
            </a:graphic>
          </wp:inline>
        </w:drawing>
      </w:r>
    </w:p>
    <w:p>
      <w:pPr>
        <w:spacing w:after="200"/>
        <w:jc w:val="center"/>
      </w:pPr>
      <w:r>
        <w:rPr>
          <w:i/>
          <w:iCs/>
          <w:color w:val="7A8199"/>
          <w:sz w:val="17"/>
          <w:szCs w:val="17"/>
        </w:rPr>
        <w:t xml:space="preserve">Diagramma 13</w:t>
      </w:r>
    </w:p>
    <w:p>
      <w:pPr>
        <w:spacing w:after="140" w:line="288"/>
      </w:pPr>
      <w:r>
        <w:t xml:space="preserve">Considera </w:t>
      </w:r>
      <w:r>
        <w:rPr>
          <w:b/>
          <w:bCs/>
        </w:rPr>
        <w:t xml:space="preserve">solo chi ha accettato</w:t>
      </w:r>
      <w:r>
        <w:t xml:space="preserve">, rispetta le </w:t>
      </w:r>
      <w:r>
        <w:rPr>
          <w:b/>
          <w:bCs/>
        </w:rPr>
        <w:t xml:space="preserve">ore libere per fornitore e mese</w:t>
      </w:r>
      <w:r>
        <w:t xml:space="preserve">, e propone l'allocazione complessiva (idoneità totale e commesse non collocabili) che Righi conferma. Invarianti verificate a test: nessuna commessa assegnata due volte, nessun fornitore oltre capacità.</w:t>
      </w:r>
    </w:p>
    <w:p>
      <w:pPr>
        <w:spacing w:after="140" w:line="288"/>
      </w:pPr>
      <w:r>
        <w:rPr>
          <w:b/>
          <w:bCs/>
        </w:rPr>
        <w:t xml:space="preserve">c) Collo di bottiglia — flusso massimo e taglio minimo.</w:t>
      </w:r>
      <w:r>
        <w:t xml:space="preserve"> Per ogni mese di rientro si costruisce una rete </w:t>
      </w:r>
      <w:r>
        <w:rPr>
          <w:i/>
          <w:iCs/>
        </w:rPr>
        <w:t xml:space="preserve">sorgente → commesse → fornitori → pozzo</w:t>
      </w:r>
      <w:r>
        <w:t xml:space="preserve">: il flusso massimo dice quante ore sono collocabili, il </w:t>
      </w:r>
      <w:r>
        <w:rPr>
          <w:b/>
          <w:bCs/>
        </w:rPr>
        <w:t xml:space="preserve">taglio minimo</w:t>
      </w:r>
      <w:r>
        <w:t xml:space="preserve"> indica </w:t>
      </w:r>
      <w:r>
        <w:rPr>
          <w:b/>
          <w:bCs/>
        </w:rPr>
        <w:t xml:space="preserve">quali fornitori sono il vincolo</w:t>
      </w:r>
      <w:r>
        <w:t xml:space="preserve">, distinguendo il caso "manca capacità" dal caso "manca lo spazio o l'accettazione".</w:t>
      </w:r>
    </w:p>
    <w:p>
      <w:pPr>
        <w:spacing w:after="60" w:before="120"/>
        <w:jc w:val="center"/>
      </w:pPr>
      <w:r>
        <w:drawing>
          <wp:inline distT="0" distB="0" distL="0" distR="0">
            <wp:extent cx="53721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72100" cy="1647825"/>
                    </a:xfrm>
                    <a:prstGeom prst="rect">
                      <a:avLst/>
                    </a:prstGeom>
                  </pic:spPr>
                </pic:pic>
              </a:graphicData>
            </a:graphic>
          </wp:inline>
        </w:drawing>
      </w:r>
    </w:p>
    <w:p>
      <w:pPr>
        <w:spacing w:after="200"/>
        <w:jc w:val="center"/>
      </w:pPr>
      <w:r>
        <w:rPr>
          <w:i/>
          <w:iCs/>
          <w:color w:val="7A8199"/>
          <w:sz w:val="17"/>
          <w:szCs w:val="17"/>
        </w:rPr>
        <w:t xml:space="preserve">Diagramma 14</w:t>
      </w:r>
    </w:p>
    <w:p>
      <w:pPr>
        <w:pStyle w:val="Heading2"/>
        <w:spacing w:after="120" w:before="240"/>
      </w:pPr>
      <w:r>
        <w:t xml:space="preserve">4.4 Persistenza e versione dei dati</w:t>
      </w:r>
    </w:p>
    <w:p>
      <w:pPr>
        <w:spacing w:after="140" w:line="288"/>
      </w:pPr>
      <w:r>
        <w:t xml:space="preserve">I dati vivono nello storage del dispositivo. Poiché il codice si aggiorna mentre i dati salvati restano, ogni salvataggio porta la </w:t>
      </w:r>
      <w:r>
        <w:rPr>
          <w:b/>
          <w:bCs/>
        </w:rPr>
        <w:t xml:space="preserve">versione del modello</w:t>
      </w:r>
      <w:r>
        <w:t xml:space="preserve"> (</w:t>
      </w:r>
      <w:r>
        <w:rPr>
          <w:rFonts w:ascii="Consolas" w:cs="Consolas" w:eastAsia="Consolas" w:hAnsi="Consolas"/>
          <w:color w:val="C4661A"/>
          <w:sz w:val="19"/>
          <w:szCs w:val="19"/>
        </w:rPr>
        <w:t xml:space="preserve">DATA_VERSION</w:t>
      </w:r>
      <w:r>
        <w:t xml:space="preserve">): se non coincide con quella dell'applicazione, i dati vengono </w:t>
      </w:r>
      <w:r>
        <w:rPr>
          <w:b/>
          <w:bCs/>
        </w:rPr>
        <w:t xml:space="preserve">rigenerati</w:t>
      </w:r>
      <w:r>
        <w:t xml:space="preserve">. Senza questo controllo un dispositivo già usato continuerebbe a mostrare il modello vecchio con il codice nuovo — sembrando "una versione vecchia". È disponibile anche un </w:t>
      </w:r>
      <w:r>
        <w:rPr>
          <w:b/>
          <w:bCs/>
        </w:rPr>
        <w:t xml:space="preserve">ripristino manuale</w:t>
      </w:r>
      <w:r>
        <w:t xml:space="preserve"> dei dati dimostrativi.</w:t>
      </w:r>
    </w:p>
    <w:p>
      <w:pPr>
        <w:pStyle w:val="Heading2"/>
        <w:spacing w:after="120" w:before="240"/>
      </w:pPr>
      <w:r>
        <w:t xml:space="preserve">4.5 Sicurezza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Aspetto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Nel prototipo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In produzione (</w:t>
            </w:r>
            <w:r>
              <w:rPr>
                <w:rFonts w:ascii="Consolas" w:cs="Consolas" w:eastAsia="Consolas" w:hAnsi="Consolas"/>
                <w:b/>
                <w:bCs/>
                <w:color w:val="C4661A"/>
                <w:sz w:val="19"/>
                <w:szCs w:val="19"/>
              </w:rPr>
              <w:t xml:space="preserve">BACKEND.md</w:t>
            </w:r>
            <w:r>
              <w:rPr>
                <w:b/>
                <w:bCs/>
                <w:color w:val="1E2748"/>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Identificazione dal link</w:t>
            </w:r>
          </w:p>
        </w:tc>
        <w:tc>
          <w:tcPr>
            <w:tcW w:type="dxa" w:w="3353"/>
            <w:tcMar>
              <w:top w:type="dxa" w:w="80"/>
              <w:left w:type="dxa" w:w="120"/>
              <w:bottom w:type="dxa" w:w="80"/>
              <w:right w:type="dxa" w:w="120"/>
            </w:tcMar>
          </w:tcPr>
          <w:p>
            <w:pPr>
              <w:spacing w:after="0" w:line="264"/>
              <w:jc w:val="left"/>
            </w:pPr>
            <w:r>
              <w:rPr>
                <w:color w:val="18203A"/>
              </w:rPr>
              <w:t xml:space="preserve">Hash non firmato, valido sul dispositivo</w:t>
            </w:r>
          </w:p>
        </w:tc>
        <w:tc>
          <w:tcPr>
            <w:tcW w:type="dxa" w:w="3353"/>
            <w:tcMar>
              <w:top w:type="dxa" w:w="80"/>
              <w:left w:type="dxa" w:w="120"/>
              <w:bottom w:type="dxa" w:w="80"/>
              <w:right w:type="dxa" w:w="120"/>
            </w:tcMar>
          </w:tcPr>
          <w:p>
            <w:pPr>
              <w:spacing w:after="0" w:line="264"/>
              <w:jc w:val="left"/>
            </w:pPr>
            <w:r>
              <w:rPr>
                <w:b/>
                <w:bCs/>
                <w:color w:val="18203A"/>
              </w:rPr>
              <w:t xml:space="preserve">Token firmato e a scadenza</w:t>
            </w:r>
            <w:r>
              <w:rPr>
                <w:color w:val="18203A"/>
              </w:rPr>
              <w:t xml:space="preserve">, verificato dal server</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Autorizzazione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Verifica dei permessi prima di aprire il contenuto</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Stesse regole applicate lato server (RLS)</w:t>
            </w:r>
          </w:p>
        </w:tc>
      </w:tr>
      <w:tr>
        <w:tc>
          <w:tcPr>
            <w:tcW w:type="dxa" w:w="2608"/>
            <w:tcMar>
              <w:top w:type="dxa" w:w="80"/>
              <w:left w:type="dxa" w:w="120"/>
              <w:bottom w:type="dxa" w:w="80"/>
              <w:right w:type="dxa" w:w="120"/>
            </w:tcMar>
          </w:tcPr>
          <w:p>
            <w:pPr>
              <w:spacing w:after="0" w:line="264"/>
              <w:jc w:val="left"/>
            </w:pPr>
            <w:r>
              <w:rPr>
                <w:color w:val="18203A"/>
              </w:rPr>
              <w:t xml:space="preserve">Riservatezza tra fornitori</w:t>
            </w:r>
          </w:p>
        </w:tc>
        <w:tc>
          <w:tcPr>
            <w:tcW w:type="dxa" w:w="3353"/>
            <w:tcMar>
              <w:top w:type="dxa" w:w="80"/>
              <w:left w:type="dxa" w:w="120"/>
              <w:bottom w:type="dxa" w:w="80"/>
              <w:right w:type="dxa" w:w="120"/>
            </w:tcMar>
          </w:tcPr>
          <w:p>
            <w:pPr>
              <w:spacing w:after="0" w:line="264"/>
              <w:jc w:val="left"/>
            </w:pPr>
            <w:r>
              <w:rPr>
                <w:color w:val="18203A"/>
              </w:rPr>
              <w:t xml:space="preserve">Filtri di visibilità + un destinatario per email</w:t>
            </w:r>
          </w:p>
        </w:tc>
        <w:tc>
          <w:tcPr>
            <w:tcW w:type="dxa" w:w="3353"/>
            <w:tcMar>
              <w:top w:type="dxa" w:w="80"/>
              <w:left w:type="dxa" w:w="120"/>
              <w:bottom w:type="dxa" w:w="80"/>
              <w:right w:type="dxa" w:w="120"/>
            </w:tcMar>
          </w:tcPr>
          <w:p>
            <w:pPr>
              <w:spacing w:after="0" w:line="264"/>
              <w:jc w:val="left"/>
            </w:pPr>
            <w:r>
              <w:rPr>
                <w:color w:val="18203A"/>
              </w:rPr>
              <w:t xml:space="preserve">Row Level Security per </w:t>
            </w:r>
            <w:r>
              <w:rPr>
                <w:rFonts w:ascii="Consolas" w:cs="Consolas" w:eastAsia="Consolas" w:hAnsi="Consolas"/>
                <w:color w:val="C4661A"/>
                <w:sz w:val="19"/>
                <w:szCs w:val="19"/>
              </w:rPr>
              <w:t xml:space="preserve">supplier_id</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Soglia di approvazione degli extra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Applicata anche alla chiamata diretta</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Da imporre lato server</w:t>
            </w:r>
            <w:r>
              <w:rPr>
                <w:color w:val="18203A"/>
              </w:rPr>
              <w:t xml:space="preserve">: decide di denaro</w:t>
            </w:r>
          </w:p>
        </w:tc>
      </w:tr>
    </w:tbl>
    <w:p>
      <w:pPr>
        <w:spacing w:after="200"/>
      </w:pPr>
    </w:p>
    <w:p>
      <w:pPr>
        <w:pBdr>
          <w:left w:val="single" w:color="C4661A" w:sz="12" w:space="10"/>
        </w:pBdr>
        <w:spacing w:after="200" w:line="288"/>
        <w:ind w:left="260"/>
      </w:pPr>
      <w:r>
        <w:rPr>
          <w:i/>
          <w:iCs/>
          <w:color w:val="525A72"/>
        </w:rPr>
        <w:t xml:space="preserve">Principio guida: il client applica i controlli per dare un'esperienza corretta, ma in produzione </w:t>
      </w:r>
      <w:r>
        <w:rPr>
          <w:b/>
          <w:bCs/>
          <w:i/>
          <w:iCs/>
          <w:color w:val="525A72"/>
        </w:rPr>
        <w:t xml:space="preserve">ogni regola che protegge dati o denaro va riapplicata sul server</w:t>
      </w:r>
      <w:r>
        <w:rPr>
          <w:i/>
          <w:iCs/>
          <w:color w:val="525A72"/>
        </w:rPr>
        <w:t xml:space="preserve">. I controlli lato browser sono un aiuto all'utente, non una difesa.</w:t>
      </w:r>
    </w:p>
    <w:p>
      <w:pPr>
        <w:pStyle w:val="Heading2"/>
        <w:spacing w:after="120" w:before="240"/>
      </w:pPr>
      <w:r>
        <w:t xml:space="preserve">4.6 Qualità: come si verifica che funzioni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Livello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Copertura</w:t>
            </w:r>
          </w:p>
        </w:tc>
      </w:tr>
      <w:tr>
        <w:tc>
          <w:tcPr>
            <w:tcW w:type="dxa" w:w="3167"/>
            <w:tcMar>
              <w:top w:type="dxa" w:w="80"/>
              <w:left w:type="dxa" w:w="120"/>
              <w:bottom w:type="dxa" w:w="80"/>
              <w:right w:type="dxa" w:w="120"/>
            </w:tcMar>
          </w:tcPr>
          <w:p>
            <w:pPr>
              <w:spacing w:after="0" w:line="264"/>
              <w:jc w:val="left"/>
            </w:pPr>
            <w:r>
              <w:rPr>
                <w:b/>
                <w:bCs/>
                <w:color w:val="18203A"/>
              </w:rPr>
              <w:t xml:space="preserve">Test di modello</w:t>
            </w:r>
            <w:r>
              <w:rPr>
                <w:color w:val="18203A"/>
              </w:rPr>
              <w:t xml:space="preserve"> (78)</w:t>
            </w:r>
          </w:p>
        </w:tc>
        <w:tc>
          <w:tcPr>
            <w:tcW w:type="dxa" w:w="6147"/>
            <w:tcMar>
              <w:top w:type="dxa" w:w="80"/>
              <w:left w:type="dxa" w:w="120"/>
              <w:bottom w:type="dxa" w:w="80"/>
              <w:right w:type="dxa" w:w="120"/>
            </w:tcMar>
          </w:tcPr>
          <w:p>
            <w:pPr>
              <w:spacing w:after="0" w:line="264"/>
              <w:jc w:val="left"/>
            </w:pPr>
            <w:r>
              <w:rPr>
                <w:color w:val="18203A"/>
              </w:rPr>
              <w:t xml:space="preserve">Date e alert, metriche, capacità, qualifica, matching ottimo, flusso massimo e taglio minimo, invarianti del grafo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Test di sincronizzazione</w:t>
            </w:r>
            <w:r>
              <w:rPr>
                <w:color w:val="18203A"/>
              </w:rPr>
              <w:t xml:space="preserve"> (6)</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Contratto del seam remoto (pull/push, versioni)</w:t>
            </w:r>
          </w:p>
        </w:tc>
      </w:tr>
      <w:tr>
        <w:tc>
          <w:tcPr>
            <w:tcW w:type="dxa" w:w="3167"/>
            <w:tcMar>
              <w:top w:type="dxa" w:w="80"/>
              <w:left w:type="dxa" w:w="120"/>
              <w:bottom w:type="dxa" w:w="80"/>
              <w:right w:type="dxa" w:w="120"/>
            </w:tcMar>
          </w:tcPr>
          <w:p>
            <w:pPr>
              <w:spacing w:after="0" w:line="264"/>
              <w:jc w:val="left"/>
            </w:pPr>
            <w:r>
              <w:rPr>
                <w:b/>
                <w:bCs/>
                <w:color w:val="18203A"/>
              </w:rPr>
              <w:t xml:space="preserve">Test dei suoni</w:t>
            </w:r>
            <w:r>
              <w:rPr>
                <w:color w:val="18203A"/>
              </w:rPr>
              <w:t xml:space="preserve"> (26)</w:t>
            </w:r>
          </w:p>
        </w:tc>
        <w:tc>
          <w:tcPr>
            <w:tcW w:type="dxa" w:w="6147"/>
            <w:tcMar>
              <w:top w:type="dxa" w:w="80"/>
              <w:left w:type="dxa" w:w="120"/>
              <w:bottom w:type="dxa" w:w="80"/>
              <w:right w:type="dxa" w:w="120"/>
            </w:tcMar>
          </w:tcPr>
          <w:p>
            <w:pPr>
              <w:spacing w:after="0" w:line="264"/>
              <w:jc w:val="left"/>
            </w:pPr>
            <w:r>
              <w:rPr>
                <w:color w:val="18203A"/>
              </w:rPr>
              <w:t xml:space="preserve">La sintesi viene registrata voce per voce: scala, timbro, durate, volumi, direzione melodica, firma distinta per ogni funzionalità, interruttore e anti-raffica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Audit automatici</w:t>
            </w:r>
            <w:r>
              <w:rPr>
                <w:color w:val="18203A"/>
              </w:rPr>
              <w:t xml:space="preserve"> (3 passate)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Percorso completo di tutti i ruoli su ogni schermata (desktop e mobile), riservatezza, invarianti, persistenza, coerenza dei numeri, casi limite dei link</w:t>
            </w:r>
          </w:p>
        </w:tc>
      </w:tr>
      <w:tr>
        <w:tc>
          <w:tcPr>
            <w:tcW w:type="dxa" w:w="3167"/>
            <w:tcMar>
              <w:top w:type="dxa" w:w="80"/>
              <w:left w:type="dxa" w:w="120"/>
              <w:bottom w:type="dxa" w:w="80"/>
              <w:right w:type="dxa" w:w="120"/>
            </w:tcMar>
          </w:tcPr>
          <w:p>
            <w:pPr>
              <w:spacing w:after="0" w:line="264"/>
              <w:jc w:val="left"/>
            </w:pPr>
            <w:r>
              <w:rPr>
                <w:b/>
                <w:bCs/>
                <w:color w:val="18203A"/>
              </w:rPr>
              <w:t xml:space="preserve">Prove end-to-end</w:t>
            </w:r>
            <w:r>
              <w:rPr>
                <w:color w:val="18203A"/>
              </w:rPr>
              <w:t xml:space="preserve"> (24 scenari)</w:t>
            </w:r>
          </w:p>
        </w:tc>
        <w:tc>
          <w:tcPr>
            <w:tcW w:type="dxa" w:w="6147"/>
            <w:tcMar>
              <w:top w:type="dxa" w:w="80"/>
              <w:left w:type="dxa" w:w="120"/>
              <w:bottom w:type="dxa" w:w="80"/>
              <w:right w:type="dxa" w:w="120"/>
            </w:tcMar>
          </w:tcPr>
          <w:p>
            <w:pPr>
              <w:spacing w:after="0" w:line="264"/>
              <w:jc w:val="left"/>
            </w:pPr>
            <w:r>
              <w:rPr>
                <w:color w:val="18203A"/>
              </w:rPr>
              <w:t xml:space="preserve">Ciclo di vita, extra, magic link, richieste con foto, approvazioni, carico, analisi, suoni sulle azioni reali</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Controlli strutturali</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Nessuna funzione vuota, nessun pulsante privo di effetto, nessun gestore orfano, nessuna emoji</w:t>
            </w:r>
          </w:p>
        </w:tc>
      </w:tr>
    </w:tbl>
    <w:p>
      <w:pPr>
        <w:spacing w:after="200"/>
      </w:pPr>
    </w:p>
    <w:p>
      <w:pPr>
        <w:spacing w:after="140" w:line="288"/>
      </w:pPr>
      <w:r>
        <w:t xml:space="preserve">Gli audit hanno individuato e fatto correggere difetti reali — tra cui una </w:t>
      </w:r>
      <w:r>
        <w:rPr>
          <w:b/>
          <w:bCs/>
        </w:rPr>
        <w:t xml:space="preserve">fuga di riservatezza</w:t>
      </w:r>
      <w:r>
        <w:t xml:space="preserve"> (un fornitore poteva aprire con il link la commessa di un altro conoscendone il codice) e due stati del ciclo di vita </w:t>
      </w:r>
      <w:r>
        <w:rPr>
          <w:b/>
          <w:bCs/>
        </w:rPr>
        <w:t xml:space="preserve">irraggiungibili</w:t>
      </w:r>
      <w:r>
        <w:t xml:space="preserve">. Le segnalazioni rivelatesi errate sono state verificate una per una e i test difettosi corretti, per non lasciare falsi allarmi.</w:t>
      </w:r>
    </w:p>
    <w:p>
      <w:pPr>
        <w:pStyle w:val="Heading2"/>
        <w:spacing w:after="120" w:before="240"/>
      </w:pPr>
      <w:r>
        <w:t xml:space="preserve">4.7 Distribuzione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Forma</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Uso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Nota</w:t>
            </w:r>
          </w:p>
        </w:tc>
      </w:tr>
      <w:tr>
        <w:tc>
          <w:tcPr>
            <w:tcW w:type="dxa" w:w="2608"/>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index.html</w:t>
            </w:r>
          </w:p>
        </w:tc>
        <w:tc>
          <w:tcPr>
            <w:tcW w:type="dxa" w:w="3353"/>
            <w:tcMar>
              <w:top w:type="dxa" w:w="80"/>
              <w:left w:type="dxa" w:w="120"/>
              <w:bottom w:type="dxa" w:w="80"/>
              <w:right w:type="dxa" w:w="120"/>
            </w:tcMar>
          </w:tcPr>
          <w:p>
            <w:pPr>
              <w:spacing w:after="0" w:line="264"/>
              <w:jc w:val="left"/>
            </w:pPr>
            <w:r>
              <w:rPr>
                <w:color w:val="18203A"/>
              </w:rPr>
              <w:t xml:space="preserve">Sviluppo e installazione come sito/PWA</w:t>
            </w:r>
          </w:p>
        </w:tc>
        <w:tc>
          <w:tcPr>
            <w:tcW w:type="dxa" w:w="3353"/>
            <w:tcMar>
              <w:top w:type="dxa" w:w="80"/>
              <w:left w:type="dxa" w:w="120"/>
              <w:bottom w:type="dxa" w:w="80"/>
              <w:right w:type="dxa" w:w="120"/>
            </w:tcMar>
          </w:tcPr>
          <w:p>
            <w:pPr>
              <w:spacing w:after="0" w:line="264"/>
              <w:jc w:val="left"/>
            </w:pPr>
            <w:r>
              <w:rPr>
                <w:color w:val="18203A"/>
              </w:rPr>
              <w:t xml:space="preserve">Sorgente unico di verità</w:t>
            </w:r>
          </w:p>
        </w:tc>
      </w:tr>
      <w:tr>
        <w:tc>
          <w:tcPr>
            <w:tcW w:type="dxa" w:w="2608"/>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Portale_Fornitori_Righi.html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Prova offline su qualsiasi PC</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File autosufficiente: </w:t>
            </w:r>
            <w:r>
              <w:rPr>
                <w:b/>
                <w:bCs/>
                <w:color w:val="18203A"/>
              </w:rPr>
              <w:t xml:space="preserve">è una fotografia</w:t>
            </w:r>
            <w:r>
              <w:rPr>
                <w:color w:val="18203A"/>
              </w:rPr>
              <w:t xml:space="preserve">, va rigenerato a ogni modifica</w:t>
            </w:r>
          </w:p>
        </w:tc>
      </w:tr>
      <w:tr>
        <w:tc>
          <w:tcPr>
            <w:tcW w:type="dxa" w:w="2608"/>
            <w:tcMar>
              <w:top w:type="dxa" w:w="80"/>
              <w:left w:type="dxa" w:w="120"/>
              <w:bottom w:type="dxa" w:w="80"/>
              <w:right w:type="dxa" w:w="120"/>
            </w:tcMar>
          </w:tcPr>
          <w:p>
            <w:pPr>
              <w:spacing w:after="0" w:line="264"/>
              <w:jc w:val="left"/>
            </w:pPr>
            <w:r>
              <w:rPr>
                <w:color w:val="18203A"/>
              </w:rPr>
              <w:t xml:space="preserve">Versione online (artifact)</w:t>
            </w:r>
          </w:p>
        </w:tc>
        <w:tc>
          <w:tcPr>
            <w:tcW w:type="dxa" w:w="3353"/>
            <w:tcMar>
              <w:top w:type="dxa" w:w="80"/>
              <w:left w:type="dxa" w:w="120"/>
              <w:bottom w:type="dxa" w:w="80"/>
              <w:right w:type="dxa" w:w="120"/>
            </w:tcMar>
          </w:tcPr>
          <w:p>
            <w:pPr>
              <w:spacing w:after="0" w:line="264"/>
              <w:jc w:val="left"/>
            </w:pPr>
            <w:r>
              <w:rPr>
                <w:color w:val="18203A"/>
              </w:rPr>
              <w:t xml:space="preserve">Condivisione e prova dei link</w:t>
            </w:r>
          </w:p>
        </w:tc>
        <w:tc>
          <w:tcPr>
            <w:tcW w:type="dxa" w:w="3353"/>
            <w:tcMar>
              <w:top w:type="dxa" w:w="80"/>
              <w:left w:type="dxa" w:w="120"/>
              <w:bottom w:type="dxa" w:w="80"/>
              <w:right w:type="dxa" w:w="120"/>
            </w:tcMar>
          </w:tcPr>
          <w:p>
            <w:pPr>
              <w:spacing w:after="0" w:line="264"/>
              <w:jc w:val="left"/>
            </w:pPr>
            <w:r>
              <w:rPr>
                <w:color w:val="18203A"/>
              </w:rPr>
              <w:t xml:space="preserve">Unica forma in cui i magic link sono realmente cliccabili</w:t>
            </w:r>
          </w:p>
        </w:tc>
      </w:tr>
    </w:tbl>
    <w:p>
      <w:pPr>
        <w:spacing w:after="200"/>
      </w:pPr>
    </w:p>
    <w:p>
      <w:pPr>
        <w:pStyle w:val="Heading1"/>
        <w:pageBreakBefore/>
        <w:pBdr>
          <w:bottom w:val="single" w:color="C4661A" w:sz="6" w:space="6"/>
        </w:pBdr>
        <w:spacing w:after="120" w:before="320"/>
      </w:pPr>
      <w:r>
        <w:t xml:space="preserve">5. Evoluzione</w:t>
      </w:r>
    </w:p>
    <w:p>
      <w:pPr>
        <w:spacing w:after="140" w:line="288"/>
      </w:pPr>
      <w:r>
        <w:rPr>
          <w:b/>
          <w:bCs/>
        </w:rPr>
        <w:t xml:space="preserve">Già realizzato</w:t>
      </w:r>
      <w:r>
        <w:t xml:space="preserve">: richieste con foto, risposte rapide, avviso automatico via email con link diretto, auto-matching, duplicazione come modello, firma leggera, assegnazione ottima, lettura del collo di bottiglia, gestione degli extra, qualifica dei fornitori dai documenti, linguaggio sonoro degli eventi.</w:t>
      </w:r>
    </w:p>
    <w:p>
      <w:pPr>
        <w:spacing w:after="140" w:line="288"/>
      </w:pPr>
      <w:r>
        <w:rPr>
          <w:b/>
          <w:bCs/>
        </w:rPr>
        <w:t xml:space="preserve">Prossimi passi</w:t>
      </w:r>
      <w:r>
        <w:t xml:space="preserve"> (richiedono il server, dettagliati in </w:t>
      </w:r>
      <w:r>
        <w:rPr>
          <w:rFonts w:ascii="Consolas" w:cs="Consolas" w:eastAsia="Consolas" w:hAnsi="Consolas"/>
          <w:color w:val="C4661A"/>
          <w:sz w:val="19"/>
          <w:szCs w:val="19"/>
        </w:rPr>
        <w:t xml:space="preserve">BACKEND.md</w:t>
      </w:r>
      <w:r>
        <w:t xml:space="preserve">):</w:t>
      </w:r>
    </w:p>
    <w:p>
      <w:pPr>
        <w:pStyle w:val="ListParagraph"/>
        <w:numPr>
          <w:ilvl w:val="0"/>
          <w:numId w:val="2"/>
        </w:numPr>
        <w:spacing w:after="80" w:line="288"/>
      </w:pPr>
      <w:r>
        <w:rPr>
          <w:b/>
          <w:bCs/>
        </w:rPr>
        <w:t xml:space="preserve">Invio realmente automatico</w:t>
      </w:r>
      <w:r>
        <w:t xml:space="preserve"> delle email, con token firmato per destinatario.</w:t>
      </w:r>
    </w:p>
    <w:p>
      <w:pPr>
        <w:pStyle w:val="ListParagraph"/>
        <w:numPr>
          <w:ilvl w:val="0"/>
          <w:numId w:val="2"/>
        </w:numPr>
        <w:spacing w:after="80" w:line="288"/>
      </w:pPr>
      <w:r>
        <w:rPr>
          <w:b/>
          <w:bCs/>
        </w:rPr>
        <w:t xml:space="preserve">Notifiche push e WhatsApp</w:t>
      </w:r>
      <w:r>
        <w:t xml:space="preserve"> con opt-in: l'avviso dove il fornitore già lavora.</w:t>
      </w:r>
    </w:p>
    <w:p>
      <w:pPr>
        <w:pStyle w:val="ListParagraph"/>
        <w:numPr>
          <w:ilvl w:val="0"/>
          <w:numId w:val="2"/>
        </w:numPr>
        <w:spacing w:after="80" w:line="288"/>
      </w:pPr>
      <w:r>
        <w:rPr>
          <w:b/>
          <w:bCs/>
        </w:rPr>
        <w:t xml:space="preserve">Risposta dall'email</w:t>
      </w:r>
      <w:r>
        <w:t xml:space="preserve"> con parsing in ingresso: anche chi risponde alla mail invece di cliccare rientra nel thread del portale.</w:t>
      </w:r>
    </w:p>
    <w:p>
      <w:pPr>
        <w:pStyle w:val="ListParagraph"/>
        <w:numPr>
          <w:ilvl w:val="0"/>
          <w:numId w:val="2"/>
        </w:numPr>
        <w:spacing w:after="80" w:line="288"/>
      </w:pPr>
      <w:r>
        <w:rPr>
          <w:b/>
          <w:bCs/>
        </w:rPr>
        <w:t xml:space="preserve">Countdown di assegnazione</w:t>
      </w:r>
      <w:r>
        <w:t xml:space="preserve"> e </w:t>
      </w:r>
      <w:r>
        <w:rPr>
          <w:b/>
          <w:bCs/>
        </w:rPr>
        <w:t xml:space="preserve">riassegnazione assistita</w:t>
      </w:r>
      <w:r>
        <w:t xml:space="preserve"> in caso di rinuncia.</w:t>
      </w:r>
    </w:p>
    <w:p>
      <w:pPr>
        <w:pStyle w:val="ListParagraph"/>
        <w:numPr>
          <w:ilvl w:val="0"/>
          <w:numId w:val="2"/>
        </w:numPr>
        <w:spacing w:after="80" w:line="288"/>
      </w:pPr>
      <w:r>
        <w:rPr>
          <w:b/>
          <w:bCs/>
        </w:rPr>
        <w:t xml:space="preserve">Integrazione ERP e layout di progettazione</w:t>
      </w:r>
      <w:r>
        <w:t xml:space="preserve"> per quotare sul dato reale.</w:t>
      </w:r>
    </w:p>
    <w:p>
      <w:pPr>
        <w:spacing w:after="120"/>
      </w:pPr>
    </w:p>
    <w:p>
      <w:pPr>
        <w:pStyle w:val="Heading1"/>
        <w:pageBreakBefore/>
        <w:pBdr>
          <w:bottom w:val="single" w:color="C4661A" w:sz="6" w:space="6"/>
        </w:pBdr>
        <w:spacing w:after="120" w:before="320"/>
      </w:pPr>
      <w:r>
        <w:t xml:space="preserve">6. Glossario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Termine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Significato</w:t>
            </w:r>
          </w:p>
        </w:tc>
      </w:tr>
      <w:tr>
        <w:tc>
          <w:tcPr>
            <w:tcW w:type="dxa" w:w="3167"/>
            <w:tcMar>
              <w:top w:type="dxa" w:w="80"/>
              <w:left w:type="dxa" w:w="120"/>
              <w:bottom w:type="dxa" w:w="80"/>
              <w:right w:type="dxa" w:w="120"/>
            </w:tcMar>
          </w:tcPr>
          <w:p>
            <w:pPr>
              <w:spacing w:after="0" w:line="264"/>
              <w:jc w:val="left"/>
            </w:pPr>
            <w:r>
              <w:rPr>
                <w:b/>
                <w:bCs/>
                <w:color w:val="18203A"/>
              </w:rPr>
              <w:t xml:space="preserve">Commessa</w:t>
            </w:r>
          </w:p>
        </w:tc>
        <w:tc>
          <w:tcPr>
            <w:tcW w:type="dxa" w:w="6147"/>
            <w:tcMar>
              <w:top w:type="dxa" w:w="80"/>
              <w:left w:type="dxa" w:w="120"/>
              <w:bottom w:type="dxa" w:w="80"/>
              <w:right w:type="dxa" w:w="120"/>
            </w:tcMar>
          </w:tcPr>
          <w:p>
            <w:pPr>
              <w:spacing w:after="0" w:line="264"/>
              <w:jc w:val="left"/>
            </w:pPr>
            <w:r>
              <w:rPr>
                <w:color w:val="18203A"/>
              </w:rPr>
              <w:t xml:space="preserve">Singolo lavoro affidato a un fornitore (un quadro o una batteria)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OTL / Caposquadra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Referente tecnico Righi che segue la commessa</w:t>
            </w:r>
          </w:p>
        </w:tc>
      </w:tr>
      <w:tr>
        <w:tc>
          <w:tcPr>
            <w:tcW w:type="dxa" w:w="3167"/>
            <w:tcMar>
              <w:top w:type="dxa" w:w="80"/>
              <w:left w:type="dxa" w:w="120"/>
              <w:bottom w:type="dxa" w:w="80"/>
              <w:right w:type="dxa" w:w="120"/>
            </w:tcMar>
          </w:tcPr>
          <w:p>
            <w:pPr>
              <w:spacing w:after="0" w:line="264"/>
              <w:jc w:val="left"/>
            </w:pPr>
            <w:r>
              <w:rPr>
                <w:b/>
                <w:bCs/>
                <w:color w:val="18203A"/>
              </w:rPr>
              <w:t xml:space="preserve">Rientro</w:t>
            </w:r>
          </w:p>
        </w:tc>
        <w:tc>
          <w:tcPr>
            <w:tcW w:type="dxa" w:w="6147"/>
            <w:tcMar>
              <w:top w:type="dxa" w:w="80"/>
              <w:left w:type="dxa" w:w="120"/>
              <w:bottom w:type="dxa" w:w="80"/>
              <w:right w:type="dxa" w:w="120"/>
            </w:tcMar>
          </w:tcPr>
          <w:p>
            <w:pPr>
              <w:spacing w:after="0" w:line="264"/>
              <w:jc w:val="left"/>
            </w:pPr>
            <w:r>
              <w:rPr>
                <w:color w:val="18203A"/>
              </w:rPr>
              <w:t xml:space="preserve">Riconsegna del quadro finito a Righi: la scadenza che conta per il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Extra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Lavorazione in più rispetto a quanto concordato all'accettazione</w:t>
            </w:r>
          </w:p>
        </w:tc>
      </w:tr>
      <w:tr>
        <w:tc>
          <w:tcPr>
            <w:tcW w:type="dxa" w:w="3167"/>
            <w:tcMar>
              <w:top w:type="dxa" w:w="80"/>
              <w:left w:type="dxa" w:w="120"/>
              <w:bottom w:type="dxa" w:w="80"/>
              <w:right w:type="dxa" w:w="120"/>
            </w:tcMar>
          </w:tcPr>
          <w:p>
            <w:pPr>
              <w:spacing w:after="0" w:line="264"/>
              <w:jc w:val="left"/>
            </w:pPr>
            <w:r>
              <w:rPr>
                <w:b/>
                <w:bCs/>
                <w:color w:val="18203A"/>
              </w:rPr>
              <w:t xml:space="preserve">Magic link</w:t>
            </w:r>
          </w:p>
        </w:tc>
        <w:tc>
          <w:tcPr>
            <w:tcW w:type="dxa" w:w="6147"/>
            <w:tcMar>
              <w:top w:type="dxa" w:w="80"/>
              <w:left w:type="dxa" w:w="120"/>
              <w:bottom w:type="dxa" w:w="80"/>
              <w:right w:type="dxa" w:w="120"/>
            </w:tcMar>
          </w:tcPr>
          <w:p>
            <w:pPr>
              <w:spacing w:after="0" w:line="264"/>
              <w:jc w:val="left"/>
            </w:pPr>
            <w:r>
              <w:rPr>
                <w:color w:val="18203A"/>
              </w:rPr>
              <w:t xml:space="preserve">Collegamento nell'email che apre il portale già identificati sulla pagina giusta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Dimensione massima del quadro che il fornitore può lavorare e movimentare</w:t>
            </w:r>
          </w:p>
        </w:tc>
      </w:tr>
      <w:tr>
        <w:tc>
          <w:tcPr>
            <w:tcW w:type="dxa" w:w="3167"/>
            <w:tcMar>
              <w:top w:type="dxa" w:w="80"/>
              <w:left w:type="dxa" w:w="120"/>
              <w:bottom w:type="dxa" w:w="80"/>
              <w:right w:type="dxa" w:w="120"/>
            </w:tcMar>
          </w:tcPr>
          <w:p>
            <w:pPr>
              <w:spacing w:after="0" w:line="264"/>
              <w:jc w:val="left"/>
            </w:pPr>
            <w:r>
              <w:rPr>
                <w:b/>
                <w:bCs/>
                <w:color w:val="18203A"/>
              </w:rPr>
              <w:t xml:space="preserve">Saturazione</w:t>
            </w:r>
          </w:p>
        </w:tc>
        <w:tc>
          <w:tcPr>
            <w:tcW w:type="dxa" w:w="6147"/>
            <w:tcMar>
              <w:top w:type="dxa" w:w="80"/>
              <w:left w:type="dxa" w:w="120"/>
              <w:bottom w:type="dxa" w:w="80"/>
              <w:right w:type="dxa" w:w="120"/>
            </w:tcMar>
          </w:tcPr>
          <w:p>
            <w:pPr>
              <w:spacing w:after="0" w:line="264"/>
              <w:jc w:val="left"/>
            </w:pPr>
            <w:r>
              <w:rPr>
                <w:color w:val="18203A"/>
              </w:rPr>
              <w:t xml:space="preserve">Rapporto tra ore assegnate e capacità mensile del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Gate di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Vincolo per cui il fornitore non può consegnare senza autorizzazione</w:t>
            </w:r>
          </w:p>
        </w:tc>
      </w:tr>
      <w:tr>
        <w:tc>
          <w:tcPr>
            <w:tcW w:type="dxa" w:w="3167"/>
            <w:tcMar>
              <w:top w:type="dxa" w:w="80"/>
              <w:left w:type="dxa" w:w="120"/>
              <w:bottom w:type="dxa" w:w="80"/>
              <w:right w:type="dxa" w:w="120"/>
            </w:tcMar>
          </w:tcPr>
          <w:p>
            <w:pPr>
              <w:spacing w:after="0" w:line="264"/>
              <w:jc w:val="left"/>
            </w:pPr>
            <w:r>
              <w:rPr>
                <w:b/>
                <w:bCs/>
                <w:color w:val="18203A"/>
              </w:rPr>
              <w:t xml:space="preserve">Qualifica</w:t>
            </w:r>
          </w:p>
        </w:tc>
        <w:tc>
          <w:tcPr>
            <w:tcW w:type="dxa" w:w="6147"/>
            <w:tcMar>
              <w:top w:type="dxa" w:w="80"/>
              <w:left w:type="dxa" w:w="120"/>
              <w:bottom w:type="dxa" w:w="80"/>
              <w:right w:type="dxa" w:w="120"/>
            </w:tcMar>
          </w:tcPr>
          <w:p>
            <w:pPr>
              <w:spacing w:after="0" w:line="264"/>
              <w:jc w:val="left"/>
            </w:pPr>
            <w:r>
              <w:rPr>
                <w:color w:val="18203A"/>
              </w:rPr>
              <w:t xml:space="preserve">Stato calcolato dai documenti obbligatori, che abilita o blocca l'assegnazione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Firma sonora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Sequenza di note che identifica un evento: distinta per ogni funzionalità</w:t>
            </w:r>
          </w:p>
        </w:tc>
      </w:tr>
    </w:tbl>
    <w:p>
      <w:pPr>
        <w:spacing w:after="200"/>
      </w:pP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199"/>
        <w:sz w:val="16"/>
        <w:szCs w:val="16"/>
      </w:rPr>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FE7" w:sz="4" w:space="6"/>
      </w:pBdr>
      <w:spacing w:after="120"/>
      <w:jc w:val="right"/>
    </w:pPr>
    <w:r>
      <w:rPr>
        <w:color w:val="7A8199"/>
        <w:sz w:val="16"/>
        <w:szCs w:val="16"/>
      </w:rPr>
      <w:t xml:space="preserve">Portale Fornitori Righi — Specifiche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0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2748"/>
      <w:sz w:val="30"/>
      <w:szCs w:val="30"/>
    </w:rPr>
  </w:style>
  <w:style w:type="paragraph" w:styleId="Heading2">
    <w:name w:val="Heading 2"/>
    <w:basedOn w:val="Normal"/>
    <w:next w:val="Normal"/>
    <w:qFormat/>
    <w:rPr>
      <w:rFonts w:ascii="Calibri" w:cs="Calibri" w:eastAsia="Calibri" w:hAnsi="Calibri"/>
      <w:b/>
      <w:bCs/>
      <w:color w:val="1E2748"/>
      <w:sz w:val="25"/>
      <w:szCs w:val="25"/>
    </w:rPr>
  </w:style>
  <w:style w:type="paragraph" w:styleId="Heading3">
    <w:name w:val="Heading 3"/>
    <w:basedOn w:val="Normal"/>
    <w:next w:val="Normal"/>
    <w:qFormat/>
    <w:rPr>
      <w:rFonts w:ascii="Calibri" w:cs="Calibri" w:eastAsia="Calibri" w:hAnsi="Calibri"/>
      <w:b/>
      <w:bCs/>
      <w:color w:val="525A7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d3bd16998de7026e8c38d2391c52e6e24607cd.png"/><Relationship Id="rId10" Type="http://schemas.openxmlformats.org/officeDocument/2006/relationships/image" Target="media/c8e9cfeac98066f648bed984399882f395458546.png"/><Relationship Id="rId11" Type="http://schemas.openxmlformats.org/officeDocument/2006/relationships/image" Target="media/57ec6153a295fe47b4aab416b893f68d67673bb6.png"/><Relationship Id="rId12" Type="http://schemas.openxmlformats.org/officeDocument/2006/relationships/image" Target="media/3934fe66b023d4a7ab60bfe128e1dd9f3b3b76d8.png"/><Relationship Id="rId13" Type="http://schemas.openxmlformats.org/officeDocument/2006/relationships/image" Target="media/d470569e7c92bff238487b6791a0575b15e70840.png"/><Relationship Id="rId14" Type="http://schemas.openxmlformats.org/officeDocument/2006/relationships/image" Target="media/88e0307633625b76f9fa65afa05bab92405a0c75.png"/><Relationship Id="rId15" Type="http://schemas.openxmlformats.org/officeDocument/2006/relationships/image" Target="media/d3621af08900d5765e7b841cff65177e6d3ebdc3.png"/><Relationship Id="rId16" Type="http://schemas.openxmlformats.org/officeDocument/2006/relationships/image" Target="media/d23c8519ea4db0877cd8440b1f9d403c42346e71.png"/><Relationship Id="rId17" Type="http://schemas.openxmlformats.org/officeDocument/2006/relationships/image" Target="media/ca929e0c9f297864e1466ecea4e0625e1d4f4417.png"/><Relationship Id="rId18" Type="http://schemas.openxmlformats.org/officeDocument/2006/relationships/image" Target="media/1288248534c3c271d89c5ff5076cd20a5e041a9e.png"/><Relationship Id="rId19" Type="http://schemas.openxmlformats.org/officeDocument/2006/relationships/image" Target="media/4ce3e2e7653ed549d702d27fcf76caaf54063271.png"/><Relationship Id="rId20" Type="http://schemas.openxmlformats.org/officeDocument/2006/relationships/image" Target="media/523821aca2a374e65f79fb9f5894d1229f7126d2.png"/><Relationship Id="rId21" Type="http://schemas.openxmlformats.org/officeDocument/2006/relationships/image" Target="media/90e12b36e295f6715111d3a0ba26697e449c7b30.png"/><Relationship Id="rId22" Type="http://schemas.openxmlformats.org/officeDocument/2006/relationships/image" Target="media/9630111186631b6f1b9cc4ab1c8b217db25d42f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Portale Fornitori — Specifiche</dc:title>
  <dc:creator>Righi Solutions</dc:creator>
  <dc:description>Specifiche funzionali, organizzative e tecniche</dc:description>
  <cp:lastModifiedBy>Un-named</cp:lastModifiedBy>
  <cp:revision>1</cp:revision>
  <dcterms:created xsi:type="dcterms:W3CDTF">2026-08-04T05:19:49.599Z</dcterms:created>
  <dcterms:modified xsi:type="dcterms:W3CDTF">2026-08-04T05:19:49.599Z</dcterms:modified>
</cp:coreProperties>
</file>

<file path=docProps/custom.xml><?xml version="1.0" encoding="utf-8"?>
<Properties xmlns="http://schemas.openxmlformats.org/officeDocument/2006/custom-properties" xmlns:vt="http://schemas.openxmlformats.org/officeDocument/2006/docPropsVTypes"/>
</file>