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spacing w:before="400" w:line="240" w:lineRule="auto"/>
        <w:contextualSpacing w:val="0"/>
        <w:jc w:val="both"/>
        <w:rPr>
          <w:rFonts w:ascii="Calibri" w:cs="Calibri" w:eastAsia="Calibri" w:hAnsi="Calibri"/>
          <w:b w:val="1"/>
          <w:sz w:val="36"/>
          <w:szCs w:val="36"/>
        </w:rPr>
      </w:pPr>
      <w:bookmarkStart w:colFirst="0" w:colLast="0" w:name="_23ckvvd" w:id="0"/>
      <w:bookmarkEnd w:id="0"/>
      <w:r w:rsidDel="00000000" w:rsidR="00000000" w:rsidRPr="00000000">
        <w:rPr>
          <w:rFonts w:ascii="Calibri" w:cs="Calibri" w:eastAsia="Calibri" w:hAnsi="Calibri"/>
          <w:b w:val="1"/>
          <w:sz w:val="36"/>
          <w:szCs w:val="36"/>
          <w:rtl w:val="0"/>
        </w:rPr>
        <w:t xml:space="preserve">Avaliação do projeto de curso</w:t>
      </w:r>
    </w:p>
    <w:p w:rsidR="00000000" w:rsidDel="00000000" w:rsidP="00000000" w:rsidRDefault="00000000" w:rsidRPr="00000000">
      <w:pPr>
        <w:spacing w:line="360" w:lineRule="auto"/>
        <w:contextualSpacing w:val="0"/>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sz w:val="21"/>
          <w:szCs w:val="21"/>
          <w:rtl w:val="0"/>
        </w:rPr>
        <w:t xml:space="preserve">O presente PPC deverá ser revisado formalmente de cinco em cinco anos, em ação proativa, ou em intervalo de tempo menor, na ocorrência de evento que justifique tal decisão. </w:t>
      </w:r>
    </w:p>
    <w:p w:rsidR="00000000" w:rsidDel="00000000" w:rsidP="00000000" w:rsidRDefault="00000000" w:rsidRPr="00000000">
      <w:pPr>
        <w:spacing w:line="240" w:lineRule="auto"/>
        <w:contextualSpacing w:val="0"/>
        <w:jc w:val="both"/>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pPr>
        <w:spacing w:line="360" w:lineRule="auto"/>
        <w:contextualSpacing w:val="0"/>
        <w:jc w:val="both"/>
        <w:rPr>
          <w:rFonts w:ascii="Libre Baskerville" w:cs="Libre Baskerville" w:eastAsia="Libre Baskerville" w:hAnsi="Libre Baskerville"/>
          <w:sz w:val="21"/>
          <w:szCs w:val="21"/>
        </w:rPr>
      </w:pPr>
      <w:r w:rsidDel="00000000" w:rsidR="00000000" w:rsidRPr="00000000">
        <w:rPr>
          <w:rFonts w:ascii="Libre Baskerville" w:cs="Libre Baskerville" w:eastAsia="Libre Baskerville" w:hAnsi="Libre Baskerville"/>
          <w:sz w:val="21"/>
          <w:szCs w:val="21"/>
          <w:rtl w:val="0"/>
        </w:rPr>
        <w:t xml:space="preserve">O NDE é responsável pelas revisões do PPC e, em particular, por contínua vigilância da adequação do PPC ao cenário corrente. Esse esforço se realizada de duas formas. Uma no sentido de fazer com que as orientações do PPC sejam observadas no cotidiano do curso e outra, onde considerado oportuno, na análise de possíveis melhorias para reagir adequadamente às mudanças do ambiente.</w:t>
      </w:r>
    </w:p>
    <w:p w:rsidR="00000000" w:rsidDel="00000000" w:rsidP="00000000" w:rsidRDefault="00000000" w:rsidRPr="00000000">
      <w:pPr>
        <w:spacing w:line="240" w:lineRule="auto"/>
        <w:contextualSpacing w:val="0"/>
        <w:jc w:val="both"/>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Fonts w:ascii="Libre Baskerville" w:cs="Libre Baskerville" w:eastAsia="Libre Baskerville" w:hAnsi="Libre Baskerville"/>
          <w:sz w:val="21"/>
          <w:szCs w:val="21"/>
          <w:rtl w:val="0"/>
        </w:rPr>
        <w:t xml:space="preserve">Ao acompanhar o curso, o NDE continuamente coleta, detecta e propõe alterações. As demandas podem se originar dos estudantes, dos docentes e de outras fontes como os resultados dos estudantes do curso no Exame Nacional de Desempenho de Estudantes (ENADE).</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