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before="400" w:line="24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tbugp1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Matriz curricular</w:t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matriz curricular do curso perfaz 44 disciplinas descritas nas Tabelas 1, 2 e 3. A Tabela 1 apresenta a lista das 17 disciplinas de formação básica em computação. Em particular, são 4 disciplinas oferecidas pelo Instituto de Matemática e Estatística (IME) e as outras 13 oferecidas pelo INF. Todas elas são obrigatórias e pertencem ao Núcleo Comum (NC).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200" w:line="240" w:lineRule="auto"/>
        <w:contextualSpacing w:val="0"/>
        <w:jc w:val="center"/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</w:rPr>
      </w:pPr>
      <w:bookmarkStart w:colFirst="0" w:colLast="0" w:name="_nmf14n" w:id="1"/>
      <w:bookmarkEnd w:id="1"/>
      <w:r w:rsidDel="00000000" w:rsidR="00000000" w:rsidRPr="00000000"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  <w:rtl w:val="0"/>
        </w:rPr>
        <w:t xml:space="preserve">Tabela 1 Disciplinas de formação básica (obrigatórias). Não há co-requisito.</w:t>
      </w:r>
    </w:p>
    <w:tbl>
      <w:tblPr>
        <w:tblStyle w:val="Table1"/>
        <w:tblW w:w="8364.0" w:type="dxa"/>
        <w:jc w:val="left"/>
        <w:tblInd w:w="60.0" w:type="pct"/>
        <w:tblBorders>
          <w:top w:color="999999" w:space="0" w:sz="2" w:val="single"/>
          <w:left w:color="999999" w:space="0" w:sz="2" w:val="single"/>
          <w:bottom w:color="999999" w:space="0" w:sz="2" w:val="single"/>
          <w:right w:color="999999" w:space="0" w:sz="2" w:val="single"/>
          <w:insideH w:color="999999" w:space="0" w:sz="2" w:val="single"/>
          <w:insideV w:color="999999" w:space="0" w:sz="2" w:val="single"/>
        </w:tblBorders>
        <w:tblLayout w:type="fixed"/>
        <w:tblLook w:val="0400"/>
      </w:tblPr>
      <w:tblGrid>
        <w:gridCol w:w="414"/>
        <w:gridCol w:w="4548"/>
        <w:gridCol w:w="567"/>
        <w:gridCol w:w="850"/>
        <w:gridCol w:w="425"/>
        <w:gridCol w:w="426"/>
        <w:gridCol w:w="425"/>
        <w:gridCol w:w="709"/>
        <w:tblGridChange w:id="0">
          <w:tblGrid>
            <w:gridCol w:w="414"/>
            <w:gridCol w:w="4548"/>
            <w:gridCol w:w="567"/>
            <w:gridCol w:w="850"/>
            <w:gridCol w:w="425"/>
            <w:gridCol w:w="426"/>
            <w:gridCol w:w="425"/>
            <w:gridCol w:w="709"/>
          </w:tblGrid>
        </w:tblGridChange>
      </w:tblGrid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Nº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Disciplina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Pré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Unidade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TEO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PRA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CHT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Núcleo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Computação e Sociedade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Introdução à Programação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Cálculo 1A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IME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96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96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Fundamentos de Matemática para Computação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Arquitetura de Computadores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Algoritmos e Estruturas de Dados 1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Probabilidade e Estatística A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IME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Álgebra Linear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IME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Lógica Matemática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Programação Orientada a Objetos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Algoritmos e Estruturas de Dados 2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Linguagens e Paradigmas de Programação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Engenharia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Análise e Projeto de Algoritmos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4, 11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Interação Humano-Computador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6, 7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Banco de Dados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Projeto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10, 13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</w:tbl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As disciplinas da Tabela 1 fornecem uma sólida formação em Computação, o que inclui o recomendado para a formação em Matemática. Além dessas, outras seis de Computação são oferecidas como optativas na Tabela 3.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As disciplinas da Tabela 2, por outro lado, são específicas da Engenharia de Software. Todas elas são obrigatórias, fazem parte do Núcleo Específico (NE) e são oferecidas pelo INF.</w:t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200" w:line="240" w:lineRule="auto"/>
        <w:contextualSpacing w:val="0"/>
        <w:jc w:val="center"/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</w:rPr>
      </w:pPr>
      <w:r w:rsidDel="00000000" w:rsidR="00000000" w:rsidRPr="00000000"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  <w:rtl w:val="0"/>
        </w:rPr>
        <w:t xml:space="preserve">Tabela 2 Disciplinas de Engenharia de Software (obrigatórias). Não há pré(co)-requisito.</w:t>
      </w:r>
    </w:p>
    <w:tbl>
      <w:tblPr>
        <w:tblStyle w:val="Table2"/>
        <w:tblW w:w="8364.0" w:type="dxa"/>
        <w:jc w:val="left"/>
        <w:tblInd w:w="60.0" w:type="pct"/>
        <w:tblBorders>
          <w:top w:color="999999" w:space="0" w:sz="2" w:val="single"/>
          <w:left w:color="999999" w:space="0" w:sz="2" w:val="single"/>
          <w:bottom w:color="999999" w:space="0" w:sz="2" w:val="single"/>
          <w:right w:color="999999" w:space="0" w:sz="2" w:val="single"/>
          <w:insideH w:color="999999" w:space="0" w:sz="2" w:val="single"/>
          <w:insideV w:color="999999" w:space="0" w:sz="2" w:val="single"/>
        </w:tblBorders>
        <w:tblLayout w:type="fixed"/>
        <w:tblLook w:val="0400"/>
      </w:tblPr>
      <w:tblGrid>
        <w:gridCol w:w="413"/>
        <w:gridCol w:w="4407"/>
        <w:gridCol w:w="425"/>
        <w:gridCol w:w="851"/>
        <w:gridCol w:w="425"/>
        <w:gridCol w:w="567"/>
        <w:gridCol w:w="567"/>
        <w:gridCol w:w="709"/>
        <w:tblGridChange w:id="0">
          <w:tblGrid>
            <w:gridCol w:w="413"/>
            <w:gridCol w:w="4407"/>
            <w:gridCol w:w="425"/>
            <w:gridCol w:w="851"/>
            <w:gridCol w:w="425"/>
            <w:gridCol w:w="567"/>
            <w:gridCol w:w="567"/>
            <w:gridCol w:w="709"/>
          </w:tblGrid>
        </w:tblGridChange>
      </w:tblGrid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Nº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Disciplina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Pré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Unidade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PRA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CHT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Núcleo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Construção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Modelagem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Processos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Engenharia de Sistemas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Design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Domínios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Processos de Qualidade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Gerência de Projeto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Software Concorrente e Distribuído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Experiência do Usuário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Arquitetura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Requisitos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Governança e Gestão de Serviços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Software para Sistemas Ubíquos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Software para Persistência de Dados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Padrões de Arquitetura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Testes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Prática em Engenharia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</w:tbl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São nove as disciplinas optativas. O estudante terá que escolher três delas, conforme as opções oferecidas na Tabela 3 abaixo.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200" w:line="240" w:lineRule="auto"/>
        <w:contextualSpacing w:val="0"/>
        <w:jc w:val="center"/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</w:rPr>
      </w:pPr>
      <w:bookmarkStart w:colFirst="0" w:colLast="0" w:name="_37m2jsg" w:id="2"/>
      <w:bookmarkEnd w:id="2"/>
      <w:r w:rsidDel="00000000" w:rsidR="00000000" w:rsidRPr="00000000"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  <w:rtl w:val="0"/>
        </w:rPr>
        <w:t xml:space="preserve">Tabela 3 Disciplinas optativas. Não há co-requisito.</w:t>
      </w:r>
    </w:p>
    <w:tbl>
      <w:tblPr>
        <w:tblStyle w:val="Table3"/>
        <w:tblW w:w="8424.0" w:type="dxa"/>
        <w:jc w:val="left"/>
        <w:tblInd w:w="0.0" w:type="dxa"/>
        <w:tblLayout w:type="fixed"/>
        <w:tblLook w:val="0400"/>
      </w:tblPr>
      <w:tblGrid>
        <w:gridCol w:w="486"/>
        <w:gridCol w:w="3685"/>
        <w:gridCol w:w="567"/>
        <w:gridCol w:w="992"/>
        <w:gridCol w:w="426"/>
        <w:gridCol w:w="427"/>
        <w:gridCol w:w="423"/>
        <w:gridCol w:w="709"/>
        <w:gridCol w:w="709"/>
        <w:tblGridChange w:id="0">
          <w:tblGrid>
            <w:gridCol w:w="486"/>
            <w:gridCol w:w="3685"/>
            <w:gridCol w:w="567"/>
            <w:gridCol w:w="992"/>
            <w:gridCol w:w="426"/>
            <w:gridCol w:w="427"/>
            <w:gridCol w:w="423"/>
            <w:gridCol w:w="709"/>
            <w:gridCol w:w="709"/>
          </w:tblGrid>
        </w:tblGridChange>
      </w:tblGrid>
      <w:tr>
        <w:trPr>
          <w:trHeight w:val="10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" w:cs="Times" w:eastAsia="Times" w:hAnsi="Time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Disciplina (opção)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Pré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Unidade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Núcleo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Optativa</w:t>
            </w:r>
          </w:p>
        </w:tc>
      </w:tr>
      <w:tr>
        <w:trPr>
          <w:trHeight w:val="10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Pesquisa Operacional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  <w:tc>
          <w:tcPr>
            <w:vMerge w:val="restart"/>
            <w:tcBorders>
              <w:top w:color="999999" w:space="0" w:sz="6" w:val="single"/>
              <w:left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10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Linguagens Formais e Autômatos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  <w:tc>
          <w:tcPr>
            <w:vMerge w:val="continue"/>
            <w:tcBorders>
              <w:top w:color="999999" w:space="0" w:sz="6" w:val="single"/>
              <w:left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Sistemas Operacionais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  <w:tc>
          <w:tcPr>
            <w:vMerge w:val="continue"/>
            <w:tcBorders>
              <w:top w:color="999999" w:space="0" w:sz="6" w:val="single"/>
              <w:left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Compiladores</w:t>
            </w:r>
          </w:p>
        </w:tc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11, 37</w:t>
            </w:r>
          </w:p>
        </w:tc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  <w:tc>
          <w:tcPr>
            <w:vMerge w:val="restart"/>
            <w:tcBorders>
              <w:top w:color="000000" w:space="0" w:sz="12" w:val="single"/>
              <w:left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trHeight w:val="10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Redes de Computadores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  <w:tc>
          <w:tcPr>
            <w:vMerge w:val="continue"/>
            <w:tcBorders>
              <w:top w:color="000000" w:space="0" w:sz="12" w:val="single"/>
              <w:left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Introdução à Língua Brasileira de Sinais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  <w:shd w:fill="d9d9d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LETRAS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000000" w:space="0" w:sz="12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  <w:tc>
          <w:tcPr>
            <w:vMerge w:val="continue"/>
            <w:tcBorders>
              <w:top w:color="000000" w:space="0" w:sz="12" w:val="single"/>
              <w:left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Sistemas Distribuídos</w:t>
            </w:r>
          </w:p>
        </w:tc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12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  <w:tc>
          <w:tcPr>
            <w:vMerge w:val="restart"/>
            <w:tcBorders>
              <w:top w:color="000000" w:space="0" w:sz="12" w:val="single"/>
              <w:left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trHeight w:val="10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43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Metodologia e Experimentação em Engenharia de Software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  <w:tc>
          <w:tcPr>
            <w:vMerge w:val="continue"/>
            <w:tcBorders>
              <w:top w:color="000000" w:space="0" w:sz="12" w:val="single"/>
              <w:left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6"/>
                <w:szCs w:val="16"/>
                <w:rtl w:val="0"/>
              </w:rPr>
              <w:t xml:space="preserve">44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Mercado e Economia de Software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INF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  <w:tc>
          <w:tcPr>
            <w:vMerge w:val="continue"/>
            <w:tcBorders>
              <w:top w:color="000000" w:space="0" w:sz="12" w:val="single"/>
              <w:left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