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360" w:line="360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2lwamvv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Distribuição da carga horária</w:t>
      </w:r>
    </w:p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As Tabelas 1, 2 e 3, juntamente com a definição das horas do Núcleo Livre (NL) e das atividades complementares, seções acima, resultam nos valores compilados na Tabela 4.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200" w:line="240" w:lineRule="auto"/>
        <w:contextualSpacing w:val="0"/>
        <w:jc w:val="center"/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</w:rPr>
      </w:pPr>
      <w:bookmarkStart w:colFirst="0" w:colLast="0" w:name="_111kx3o" w:id="1"/>
      <w:bookmarkEnd w:id="1"/>
      <w:r w:rsidDel="00000000" w:rsidR="00000000" w:rsidRPr="00000000"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  <w:rtl w:val="0"/>
        </w:rPr>
        <w:t xml:space="preserve">Tabela 4 Distribuição da carga horária.</w:t>
      </w:r>
    </w:p>
    <w:tbl>
      <w:tblPr>
        <w:tblStyle w:val="Table1"/>
        <w:tblW w:w="6296.999999999999" w:type="dxa"/>
        <w:jc w:val="center"/>
        <w:tblBorders>
          <w:top w:color="999999" w:space="0" w:sz="2" w:val="single"/>
          <w:left w:color="999999" w:space="0" w:sz="2" w:val="single"/>
          <w:bottom w:color="999999" w:space="0" w:sz="2" w:val="single"/>
          <w:right w:color="999999" w:space="0" w:sz="2" w:val="single"/>
          <w:insideH w:color="999999" w:space="0" w:sz="2" w:val="single"/>
          <w:insideV w:color="999999" w:space="0" w:sz="2" w:val="single"/>
        </w:tblBorders>
        <w:tblLayout w:type="fixed"/>
        <w:tblLook w:val="0400"/>
      </w:tblPr>
      <w:tblGrid>
        <w:gridCol w:w="4455"/>
        <w:gridCol w:w="708"/>
        <w:gridCol w:w="1134"/>
        <w:tblGridChange w:id="0">
          <w:tblGrid>
            <w:gridCol w:w="4455"/>
            <w:gridCol w:w="708"/>
            <w:gridCol w:w="1134"/>
          </w:tblGrid>
        </w:tblGridChange>
      </w:tblGrid>
      <w:tr>
        <w:trPr>
          <w:trHeight w:val="10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imes" w:cs="Times" w:eastAsia="Times" w:hAnsi="Time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Componentes curriculares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" w:cs="Times" w:eastAsia="Times" w:hAnsi="Time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Percentual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Núcleo Comum (NC)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1088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34%</w:t>
            </w:r>
          </w:p>
        </w:tc>
      </w:tr>
      <w:tr>
        <w:trPr>
          <w:trHeight w:val="10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Núcleo Específico (NE) (obrigatório)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1600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50%</w:t>
            </w:r>
          </w:p>
        </w:tc>
      </w:tr>
      <w:tr>
        <w:trPr>
          <w:trHeight w:val="10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Núcleo Específico (NE) (optativo)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192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6%</w:t>
            </w:r>
          </w:p>
        </w:tc>
      </w:tr>
      <w:tr>
        <w:trPr>
          <w:trHeight w:val="10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Núcleo Livre (NL)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4%</w:t>
            </w:r>
          </w:p>
        </w:tc>
      </w:tr>
      <w:tr>
        <w:trPr>
          <w:trHeight w:val="10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both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Atividades Complementares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192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Libre Baskerville" w:cs="Libre Baskerville" w:eastAsia="Libre Baskerville" w:hAnsi="Libre Baskerville"/>
                <w:sz w:val="18"/>
                <w:szCs w:val="1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sz w:val="18"/>
                <w:szCs w:val="18"/>
                <w:rtl w:val="0"/>
              </w:rPr>
              <w:t xml:space="preserve">6%</w:t>
            </w:r>
          </w:p>
        </w:tc>
      </w:tr>
      <w:tr>
        <w:trPr>
          <w:trHeight w:val="10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CARGA HORÁRIA TOTAL (CHT)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3200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