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1pxezwc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Núcleo Docente Estruturante (NDE)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Em vez de atribuir atividades ao NDE, o NDE adota os seguintes princípios: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NDE possui duas prioridades. A maior prioridade é colocar em prática o Projeto Pedagógico do Curso (PPC). A prioridade seguinte é mantê-lo relevante.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Qualquer questão que diz respeito às prioridades é do interesse do NDE e pode resultar em 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Toda ação necessariamente deve gerar valor e estar alinhada com as prioridades.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Uma ação constante e preconcebida é zelar pelos princípios aqui descritos.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NDE entende que o diálogo é necessário e que a diversidade é natural, assim como o confronto de ideias.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Esses princípios definem que todo o conteúdo do presente PPC e a aplicação dele está no raio de atuação do NDE. O que inclui: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Acompanhar a execução das ações de ensino, pesquisa e extensão pertinentes ao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Acompanhar a avaliação das ações do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Emitir opinião sobre ações pertinentes ao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Monitorar o desempenho dos estudantes;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Promover ações que possam reduzir reprovações;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Monitorar resultados dos trabalhos de conclusão de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Monitorar ações de estágios dos estudantes do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Acompanhar e se pronunciar acerca de reclamações pertinentes ao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Avaliar de forma contínua o PPC do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Acompanhar e promover a qualificação de docentes;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Acompanhar e promover a qualificação do corpo de técnico-administrativos.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NDE, portanto, não se apresenta como órgão ou mecanismo deliberativo, mas consultivo. Reúne docentes que continuamente refletem sobre questões pertinentes ao curso e, em consequência, definem ações que assistem, apoiam e fomentam a qualidade do curso, bem como contribuem com a execução dessas ações.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atuação do NDE deve ser realizada em estreita interação com a coordenação do curso. Entretanto, não é nem pode ser vista como meio para auxiliar a realização de fluxos administrativos (atribuição da coordenação do curso).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Convém observar que as atribuições estabelecidas acima estão em conformidade com a resolução da Comissão Nacional de Avaliação da Educação Superior (CONAES), 01/2010 de 17 de junho de 2010, a qual “normatiza o núcleo docente estruturante”, e esclarecido pelo parecer CONAES 04/2010 de 17 de junho de 2010.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