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kzxup6p57y0w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Estratégia da definição das disciplinas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disciplinas do BES foram definidas com substancial cruzamento de fronteiras de subáreas do conhecimento da Engenharia de Software. A estratégia na qual se define uma disciplina por subárea foi preterida. Convém ressaltar que o corpo de conhecimento da área [SWEBOK 2014] foi extensivamente empregado, mas não como exemplo de organização didática.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Em vez da separação de tópicos induzida pela classificação do conhecimento, o conteúdo (ementa) atribuído a cada disciplina do BES inclui tópicos entre os quais há sinergia. Essa orientação é compatível com a prática da Engenharia de Software e não apenas reconhece, mas também respeita os vínculos entre as suas subáreas. Isso resultou em disciplinas coerentes com a prática da Engenharia de Software.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Figura abaixo ilustra uma disciplina X qualquer do BES, composta por conteúdo das subáreas A, B e C. Ou seja, o conteúdo de X não está contido estritamente na subárea A, nem tampouco na B ou na C. Em vez disso, reúne e explora a interdependência de conceitos dessas três subáreas. 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1840505" cy="1391081"/>
            <wp:effectExtent b="0" l="0" r="0" t="0"/>
            <wp:docPr descr="https://lh6.googleusercontent.com/WRH1hYkQRNH35KapGblSfqElhjvSI9Rxp76U6aysPeVpRJLnHkE7OoKEU0qBm43CKJL7WPSefGo-59_4vNKYB-1myoubBOvOKt1qGLOyd-848K0yXidp0DDp1QoY5RMsdSXQSCA" id="1" name="image2.png"/>
            <a:graphic>
              <a:graphicData uri="http://schemas.openxmlformats.org/drawingml/2006/picture">
                <pic:pic>
                  <pic:nvPicPr>
                    <pic:cNvPr descr="https://lh6.googleusercontent.com/WRH1hYkQRNH35KapGblSfqElhjvSI9Rxp76U6aysPeVpRJLnHkE7OoKEU0qBm43CKJL7WPSefGo-59_4vNKYB-1myoubBOvOKt1qGLOyd-848K0yXidp0DDp1QoY5RMsdSXQSCA" id="0" name="image2.png"/>
                    <pic:cNvPicPr preferRelativeResize="0"/>
                  </pic:nvPicPr>
                  <pic:blipFill>
                    <a:blip r:embed="rId5"/>
                    <a:srcRect b="49980" l="43672" r="30410" t="17822"/>
                    <a:stretch>
                      <a:fillRect/>
                    </a:stretch>
                  </pic:blipFill>
                  <pic:spPr>
                    <a:xfrm>
                      <a:off x="0" y="0"/>
                      <a:ext cx="1840505" cy="139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t xml:space="preserve">Figura 1 Disciplina do curso baseada em conhecimento de várias subáreas.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subáreas “requisitos” e “projeto de software”, por exemplo, são contempladas em várias disciplinas do curso e não apenas nas disciplinas nas quais são o foco principal de interesse. A disciplina que enfatiza testes, por exemplo, inclui aspectos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software e também de requisitos, assim como aqueles de construção de software. De forma resumida, as disciplinas não são uma projeção cartesiana das 15 subáreas de conhecimento da Engenharia de Software [SWECOM 2014]. Em vez disso, são 18 disciplinas cobrindo reiteradamente várias dessas 15 áreas, sendo que uma delas cobre todas as áreas necessárias para a execução de um projeto real de produção de software. 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