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szaf9nr8y6p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Formação Ética e Função Social do Profissional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vivência de princípios éticos e o conhecimento sobre a responsabilidade social do Engenheiro de Software são elementos imprescindíveis para a formação da postura profissional do egresso do BES.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Ética é assunto de uma das disciplinas do primeiro semestre do curso, “Computação e Sociedade”, e volta a ser explicitamente tratada, junto com aspectos profissionais, na última disciplina do curso “Prática em Engenharia de Software”. Nesse caso, a postura ética e profissional é condição a ser observada para aprovação nessa disciplina.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comportamento ético e profissional será trabalhado nas atividades do curso, e não apenas na primeira e última disciplinas. A exigência de uma conduta apropriada em sala de aula, tanto dos docentes quanto dos estudantes, contribui com essa formação. Isso significa promover a qualidade de vida, o respeito à diversidade, o respeito ao meio ambiente. Nesse sentido, não apenas as disciplinas, mas toda e qualquer ação, deve ser pautada pela reflexão do impacto no contexto no qual se insere.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Ainda convém destacar que a área possui um código de ética próprio, Código de Ética e Prática Profissional da Engenharia de Software [ACM/IEEE]. Esse código é uma das bases de fundamentação do curso e deve ser observado no convívio diário do curso.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