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before="400" w:line="240" w:lineRule="auto"/>
        <w:contextualSpacing w:val="0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147n2zr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Requisitos legais e normativos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curso de Bacharelado em Engenharia de Software contempla requisitos legais específicos, a saber, Libras, Política de Educação Ambiental, e Educação das Relações Étnico-raciais e para o Ensino da História e Cultura Afro-brasileira e Indígena, conforme detalhado nas seções seguintes.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atenção a tais requisitos se verifica por meio de disciplinas e de um Programa de Extensão, devidamente institucionalizado na unidade executora do curso. Está além do escopo do presente documento detalhar o Programa de Extensão. Abaixo, apenas aspectos relevantes para o PPC são destacados.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o7alnk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Libras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Decreto 5.626/2005 regulamenta a Lei 10.436, de 24 de abril de 2002, e o artigo 18 da Lei 10.098, de 19 de dezembro de 2000. Segundo esse Decreto, a disciplina curricular Libras é obrigatória para vários cursos, dentre eles, as licenciaturas e os cursos de Fonoaudiologia. O Decreto também estabelece que, nos demais cursos, a disciplina curricular Libras seja optativa, conforme o Capítulo II, § 2º: “a Libras constituir-se-á em disciplina curricular optativa nos demais cursos de educação superior”.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Em atenção a tal requisito legal, o Bacharelado em Engenharia de Software inclui a disciplina Libras como optativa, no oitavo período do curso.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3ckvvd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Política de educação ambiental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A Lei 9.795, de 27 de abril de 1999, institui a Política Nacional de Educação Ambiental, que é regulamentada pelo Decreto 4.281, de 25 de junho de 2002. Conforme essa Lei, Seção II, Art. 10, “a educação ambiental será desenvolvida como uma prática educativa integrada, contínua e permanente em todos os níveis e modalidades do ensino formal”. Adicionalmente, lê-se na Seção II, Art. 10, § 1º: “a educação ambiental 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não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deve ser implantada como disciplina específica no currículo de ensino”.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O Bacharelado em Engenharia de Software trata a Educação Ambiental por duas linhas contínuas de atuação: uma delas baseada no planejamento das disciplinas e outra em programa institucional do Instituto de Informática, ambas comentadas abaixo.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ihv636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Planejamento das disciplinas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O planejamento de cada turma deve se inspirar em possíveis estratégias de inserção de questões ambientais. Por exemplo, adoção de material em formato digital em vez de formato impresso.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A apresentação do conteúdo de cada disciplina também pode se beneficiar do volume significativo de dados sobre o meio ambiente. Por exemplo, área desmatada ao longo do tempo; áreas de preservação; consumo de energia; emissão de CO</w:t>
      </w:r>
      <w:r w:rsidDel="00000000" w:rsidR="00000000" w:rsidRPr="00000000">
        <w:rPr>
          <w:rFonts w:ascii="Libre Baskerville" w:cs="Libre Baskerville" w:eastAsia="Libre Baskerville" w:hAnsi="Libre Baskerville"/>
          <w:sz w:val="13"/>
          <w:szCs w:val="13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; qualidade do ar; consumo de materiais poluentes e geração de lixo eletrônico. Tais dados podem ser empregados para ilustrar o funcionamento de algoritmos e visualização de informações, dentre outras possibilidades.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Convém destacar que esses exemplos devem ser vistos como elementos de inspiração, a serem renovados continuamente.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2hioqz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Programa institucional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UFG executa um 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Plano de Logística Sustentável (PLS), que estabelece práticas de sustentabilidade e racionalização de gastos e processos na administração pública [PLS]. Esse plano é internalizado no Instituto de Informática por um Programa Institucional de extensão.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O PLS une o cotidiano da prática acadêmica com atitudes “sustentáveis” por meio de recomendações simples, como a impressão em ambos os lados de uma folha e a redução do uso de copos descartáveis, dentre muitas outras.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O Programa Institucional reúne ações que contemplam as orientações do PLS. O objetivo é colocar em prática essas orientações. Por exemplo, enquanto o PLS sugere a coleta seletiva, esse programa cria um repositório para coleta de pilhas e baterias já utilizadas, além de assegurar que aquele material coletado será descartado de forma correta.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O Programa Institucional possui objetivos e ações que incluem a educação ambiental. As opções de ações variam. Dentre elas uma é constante: avaliação dos resultados. Dentre as demais: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Cursos de extensão cuja inscrição seja lixo eletrônico;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Elaboração de material de conscientização sobre consumo parcimonioso de água e energia;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Palestras e cursos sobre TI Verde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highlight w:val="white"/>
          <w:rtl w:val="0"/>
        </w:rPr>
        <w:t xml:space="preserve">green computing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Pesquisa sobre consumo de energia por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highlight w:val="white"/>
          <w:rtl w:val="0"/>
        </w:rPr>
        <w:t xml:space="preserve">datacenters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Divulgação e destaque de informações sobre o meio ambiente;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Monitoramento e divulgação de informações ambientes sobre Goiás;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Divulgação de softwares que promovem o meio ambiente, por exemplo, evitam deslocamentos, evitam consumo de energia.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hmsyys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Resolução Nº 1 de 17 de junho de 2004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Resolução Nº 1, de 17 de junho de 2004, trata das Diretrizes Curriculares Nacionais para a Educação das Relações Étnico-Raciais e para o Ensino de História e Cultura Afro-Brasileira e Africana.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222222"/>
          <w:sz w:val="21"/>
          <w:szCs w:val="21"/>
          <w:highlight w:val="white"/>
          <w:rtl w:val="0"/>
        </w:rPr>
        <w:t xml:space="preserve">O objetivo é claro: “combater o racismo e as discriminações que atingem particularmente os negros. Nessa perspectiva, propõe a divulgação e produção de conhecimentos, a formação de atitudes, posturas e valores que eduquem cidadãos orgulhosos de seu pertencimento étnico-racial, descendentes de africanos, povos indígenas, descendentes de europeus, de asiáticos. 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222222"/>
          <w:sz w:val="21"/>
          <w:szCs w:val="21"/>
          <w:highlight w:val="white"/>
          <w:rtl w:val="0"/>
        </w:rPr>
        <w:t xml:space="preserve">Tal objetivo pressupõe a “adoção de políticas educacionais e de estratégias pedagógicas de valorização da diversidade”, conforme consta na Resolução, assim como os princípios a serem observados para atendê-la: (a) consciência política e histórica da diversidade; (b) fortalecimento de identidades e de direitos e (c) ações educativas de combate ao racismo e a discriminações.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222222"/>
          <w:sz w:val="21"/>
          <w:szCs w:val="21"/>
          <w:highlight w:val="white"/>
          <w:rtl w:val="0"/>
        </w:rPr>
        <w:t xml:space="preserve">O Art. 7.º da Resolução ainda destaca: “as instituições de ensino superior, respeitada a autonomia que lhe é devida, incluirão nos conteúdos de disciplinas e atividades curriculares dos diferentes cursos que ministram, a Educação das Relações Étnico-Raciais, bem como o tratamento de questões e temáticas que dizem respeito aos afrodescendentes.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  <w:highlight w:val="whit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Tendo em vista o requisito legal estabelecido pela Resolução, duas linhas de atuação são adotadas pelo Bacharelado em Engenharia de Software: inserção de conteúdo pertinente em duas disciplinas curriculares obrigatórias e o Programa Institucional de extensão do Instituto de Informática. Ambas comentadas abaixo.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1mghml" w:id="6"/>
      <w:bookmarkEnd w:id="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Disciplinas de graduação obrigatórias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 disciplinas “Computador e Sociedade” (p. ) e “Interação Humano-Computador” (p. ) incluem, em seus ementários, tópicos pertinentes às exigências da Resolução. Em particular, remetem para o conhecimento de questões pertinentes ao continente africano e para o conhecimento e respeito à diversidade.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2grqrue" w:id="7"/>
      <w:bookmarkEnd w:id="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Programa institucional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Programa Institucional de extensão do Instituto de Informática será realizado por meio de ações, boa parte com ênfase na socialização de conhecimento sobre questões pertinentes à formação dos brasileiros, o que invariavelmente inclui os negros e indígenas. Esse conhecimento é indispensável para a promoção da diversidade, do respeito às diferenças e da igualdade independente das crenças, do sexo, da idade, da cor, da condição social.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Instituto de Informática, por meio desse programa de extensão, dedicado exclusivamente às relações étnico-raciais e ao meio ambiente, oferece atuação contínua sobre esses tópicos, durante toda a permanência dos seus estudantes nessa unidade, sejam de graduação ou pós-graduação.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Especificamente sobre questões de cunho étnico-racial, sem a intenção de ser uma apresentação exaustiva, nem restritiva, são identificadas algumas ações possíveis: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Ações afirmativas por meio de cursos de extensão.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Ações para promoção da diversidade.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Palestras sobre a construção de uma sociedade justa.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Palestras sobre a diversidade da formação dos brasileiros.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Palestras sobre a história afro-brasileira, sobre a história africana.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Palestras sobre os povos indígenas.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Apresentações artísticas que valorizem a cultura africana e indígena.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l7a3n9" w:id="8"/>
      <w:bookmarkEnd w:id="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Diretrizes nacionais para Educação em Direitos Humanos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disciplina “Computador e Sociedade” (p. ) trata questões relevantes acerca de direitos humanos: aspectos profissionais; participação de mulheres na computação e evolução de aplicações com acessibilidade, dentre outras, nas quais os direitos humanos precisam de discussões mais aprofundadas na computação. Na disciplina “Interação Humano-Computador” as características humanísticas, culturais, de direitos humanos e de aspectos políticos serão abordados em mais profundidade.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fwokq0" w:id="9"/>
      <w:bookmarkEnd w:id="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Proteção dos direitos da pessoa com Transtornos do Espectro Autista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proteção dos direitos da pessoa com transtorno do espectro autista é fundamentada na Lei N.º 12.764 de 27 de dezembro de 2012, que institui a política nacional de proteção dos direitos da pessoa com transtorno do espectro autista, e altera o § 3.º do Art. 98 da Lei N.º 8.112, de 11 de dezembro de 1990. Esse requisito legal é atendido por meio da disciplina obrigatória “Interação Humano-Computador”, que inclui em seu ementário tópicos pertinentes ao tratamento de características humanísticas e biológicas na construção de interfaces de usuário, o que possibilita a socializar informações relevantes para que portadores do Transtorno do Espectro Autista possam ser adequadamente considerados por meio de suas necessidades especiais.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