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Computação e Sociedade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História da computação.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Estudo e análise de casos de aplicação de computadores na sociedade e para o meio ambiente.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Subáreas da computação e áreas interdisciplinares.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Importância e desafios da computação no Brasil e no mundo.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Cursos de computação e aspectos profissionais: tipos de cursos, perfis profissionais, demanda do mercado, organizações e associações na área, regulamentação da profissão.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Leis e normas relacionadas à Informática.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Questões ambientais, raciais, de saúde e de inclusão digital relacionadas à Computação.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Ética na Computação.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Empresas de tecnologia da informação.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Incubadoras de empresas.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•</w:t>
        <w:tab/>
        <w:t xml:space="preserve">FONSECA FILHO, C. História da computação: O Caminho do Pensamento e da Tecnologia. Porto Alegre: EDIPUCRS, 2007.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•</w:t>
        <w:tab/>
        <w:t xml:space="preserve">MASIERO, P. Ética em Computação. Editora da USP, 2000.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•</w:t>
        <w:tab/>
        <w:t xml:space="preserve">VELOSO, R. Tecnologias da Informação e Comunicação: Desafios e Perspectivas. São Paulo: Saraiva, 2011.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•</w:t>
        <w:tab/>
        <w:t xml:space="preserve">CHALITA, G. Os Dez Mandamentos da Ética. Editora Nova Fronteira, 2003.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•</w:t>
        <w:tab/>
        <w:t xml:space="preserve">DRUMMOND, V. Internet, Privacidade e Dados Pessoais. Editora Lumen Juris, 2003.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•</w:t>
        <w:tab/>
        <w:t xml:space="preserve">KACZMARCZYK, L. C. Computers and Society: Computing for Good. Chapman &amp; Hall/CRC Textbooks in Computing. CRC Press, 2011.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•</w:t>
        <w:tab/>
        <w:t xml:space="preserve">LUCCA, N.; FILHO, A. S. Direito &amp; Internet. Editora Edipro, 2001.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•</w:t>
        <w:tab/>
        <w:t xml:space="preserve">PAESANI, L. M. Direito de Informática. Editora Atlas, 2005.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disciplina “Computador e Sociedade” incluem, em seus ementários, tópicos pertinentes às exigências da Resolução Nº 1 de 17 de junho de 2004. Em particular, remetem para o conhecimento de questões pertinentes ao continente africano e para o conhecimento e respeito à diversidade.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color w:val="6a737d"/>
          <w:sz w:val="24"/>
          <w:szCs w:val="24"/>
          <w:highlight w:val="white"/>
          <w:rtl w:val="0"/>
        </w:rPr>
        <w:t xml:space="preserve">Saiba mais (Linkar com a Resolução Nº 1 de 17 de junho de 2004)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