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4"/>
        <w:keepNext w:val="0"/>
        <w:keepLines w:val="0"/>
        <w:shd w:fill="ffffff" w:val="clear"/>
        <w:spacing w:after="240" w:before="360" w:line="300" w:lineRule="auto"/>
        <w:contextualSpacing w:val="0"/>
        <w:rPr>
          <w:b w:val="1"/>
          <w:color w:val="24292e"/>
        </w:rPr>
      </w:pPr>
      <w:bookmarkStart w:colFirst="0" w:colLast="0" w:name="_9lkbkq1s0hce" w:id="0"/>
      <w:bookmarkEnd w:id="0"/>
      <w:r w:rsidDel="00000000" w:rsidR="00000000" w:rsidRPr="00000000">
        <w:rPr>
          <w:b w:val="1"/>
          <w:color w:val="24292e"/>
          <w:rtl w:val="0"/>
        </w:rPr>
        <w:t xml:space="preserve">Engenharia de Software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Carga horária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Teórica: 64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Prática: 0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Total: 64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Unidade responsável: Instituto de Informática (INF)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Natureza: Núcleo comum (NC) / Obrigatória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Pré-requisito: Nenhum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Ementa: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Requisitos de software.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Projeto (design) de software.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Construção de software.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Teste de software.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Manutenção de software.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Gerência de configuração de software.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Gerência de projeto de software.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Processo de engenharia de software.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Modelos e métodos de engenharia de software.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Qualidade de software.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Prática profissional de engenharia de software.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Economia para engenharia de software.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Fundamentos de engenharia.</w:t>
      </w:r>
    </w:p>
    <w:p w:rsidR="00000000" w:rsidDel="00000000" w:rsidP="00000000" w:rsidRDefault="00000000" w:rsidRPr="00000000">
      <w:pPr>
        <w:spacing w:after="240" w:before="6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básica:</w:t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PRESSMAN, R.; MAXIM, B. Software Engineering: A Practitioner’s Approach, 8th edition, McGraw-Hill, 2014.</w:t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SOMMERVILLE, I. Software Engineering, 10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th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Edition, Pearson, 2016.</w:t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after="120"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WAZLAWICK, R. S. Engenharia de software: teoria e prática. Campus, 2013.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complementar: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ISO/IEC/IEEE 24765. Systems and software engineering - Vocabulary, 2010. Portal de periódicos da CAPES (</w:t>
      </w:r>
      <w:hyperlink r:id="rId5">
        <w:r w:rsidDel="00000000" w:rsidR="00000000" w:rsidRPr="00000000">
          <w:rPr>
            <w:rFonts w:ascii="Libre Baskerville" w:cs="Libre Baskerville" w:eastAsia="Libre Baskerville" w:hAnsi="Libre Baskerville"/>
            <w:color w:val="0000ff"/>
            <w:sz w:val="21"/>
            <w:szCs w:val="21"/>
            <w:u w:val="single"/>
            <w:rtl w:val="0"/>
          </w:rPr>
          <w:t xml:space="preserve">http://goo.gl/FrGm7c</w:t>
        </w:r>
      </w:hyperlink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MAGELA, R. Engenharia de software aplicada. Alta Books, 2006.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MPS.BR.  Melhoria de Processos do Software Brasileiro. Disponível em </w:t>
      </w:r>
      <w:hyperlink r:id="rId6">
        <w:r w:rsidDel="00000000" w:rsidR="00000000" w:rsidRPr="00000000">
          <w:rPr>
            <w:rFonts w:ascii="Libre Baskerville" w:cs="Libre Baskerville" w:eastAsia="Libre Baskerville" w:hAnsi="Libre Baskerville"/>
            <w:color w:val="0000ff"/>
            <w:sz w:val="21"/>
            <w:szCs w:val="21"/>
            <w:u w:val="single"/>
            <w:rtl w:val="0"/>
          </w:rPr>
          <w:t xml:space="preserve">http://www.softex.br/mpsbr/</w:t>
        </w:r>
      </w:hyperlink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, último acesso julho/2016.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Software Engineering Body of Knowledge (SWEBOK), V3, IEEE, Disponível em </w:t>
      </w:r>
      <w:hyperlink r:id="rId7">
        <w:r w:rsidDel="00000000" w:rsidR="00000000" w:rsidRPr="00000000">
          <w:rPr>
            <w:rFonts w:ascii="Libre Baskerville" w:cs="Libre Baskerville" w:eastAsia="Libre Baskerville" w:hAnsi="Libre Baskerville"/>
            <w:color w:val="0000ff"/>
            <w:sz w:val="21"/>
            <w:szCs w:val="21"/>
            <w:u w:val="single"/>
            <w:rtl w:val="0"/>
          </w:rPr>
          <w:t xml:space="preserve">https://www.computer.org/web/swebok</w:t>
        </w:r>
      </w:hyperlink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. 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pacing w:after="120"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Software Engineering Competency Model (SWECOM), IEEE. Disponível em </w:t>
      </w:r>
      <w:hyperlink r:id="rId8">
        <w:r w:rsidDel="00000000" w:rsidR="00000000" w:rsidRPr="00000000">
          <w:rPr>
            <w:rFonts w:ascii="Libre Baskerville" w:cs="Libre Baskerville" w:eastAsia="Libre Baskerville" w:hAnsi="Libre Baskerville"/>
            <w:color w:val="0000ff"/>
            <w:sz w:val="21"/>
            <w:szCs w:val="21"/>
            <w:u w:val="single"/>
            <w:rtl w:val="0"/>
          </w:rPr>
          <w:t xml:space="preserve">https://www.computer.org/web/peb/swecom</w:t>
        </w:r>
      </w:hyperlink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. 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goo.gl/FrGm7c" TargetMode="External"/><Relationship Id="rId6" Type="http://schemas.openxmlformats.org/officeDocument/2006/relationships/hyperlink" Target="http://www.softex.br/mpsbr/" TargetMode="External"/><Relationship Id="rId7" Type="http://schemas.openxmlformats.org/officeDocument/2006/relationships/hyperlink" Target="https://www.computer.org/web/swebok" TargetMode="External"/><Relationship Id="rId8" Type="http://schemas.openxmlformats.org/officeDocument/2006/relationships/hyperlink" Target="https://www.computer.org/web/peb/swe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