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Construção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80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128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(4h): construção (minimizar complexidade, antecipação de mudança, verificação, padrões), projeto de software (software design), qualidade de produto.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Planejamento (8h): linguagens de programação e processos de construção.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Gerência de construção (16h): controle de versão, inspeção e revisão de código.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codificação (32h): estratégias recomendadas para criar código, variáveis, classes, interfaces, polimorfismo, rotinas, recursão, condições, laços, tratamento de exceção, reflexão, programação defensiva, padrão de codificação (leiaute e estilo), documentação, ferramentas de programação.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Projeto (design) detalhado e codificação (32h): noções de projeto detalhado, especificação de projeto, análise sintática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parsing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), expressões regulares, parametrização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configuração de software em tempo de execução. Internacionalização. Técnicas de construção baseadas em estado e tabelas.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Refatoração (8h).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Testes de unidade (16h).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Detecção e remoção de defeitos (debugging) (8h).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Integração (4h): integração contínua.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a construção de software, a relação dessa área de conhecimento com as demais da engenharia de software e a relação com o conceito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e configurar ferramentas para edição, documentação, compilação, depuração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debugging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, teste, controle de versão, coleta de medidas (desempenho, consumo de memória, análise estática e cobertura), integração contínua, e aplicativos fundamentais de linha de comandos.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orientado a objetos em conformidade com o projeto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 detalhado seguindo estratégias recomendadas.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processos para a construção de software (criação de código, controle de versão, inspeção e integração).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Detalhar projeto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Depurar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debugging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 código.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testes de unidade básicos empregando estratégias recomendadas.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Localizar e reutilizar código (bibliotecas 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color w:val="ff0000"/>
          <w:sz w:val="21"/>
          <w:szCs w:val="21"/>
          <w:rtl w:val="0"/>
        </w:rPr>
        <w:t xml:space="preserve">frameworks</w:t>
      </w: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Colaborar com a construção de código em equipe.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bookmarkStart w:colFirst="0" w:colLast="0" w:name="_2250f4o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Avaliar a qualidade interna de código e, quando apropriado, aplicar estratégias recomendadas de refatoração.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MCCONNELL, S. Code Complete: um guia prático para a construção de software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Porto Alegre, RS: Bookman, 2005. ISBN 8536305045.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GOODLIFFE, P. Como ser um programador melhor. Novatec, 2015. ISBN 978-85-7522-415-1.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ORAM, A.; WILSON, G. Beautiful code. O'Reilly, 2007. ISBN 9780596510046.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FOWLER, M. Refatoração: aperfeiçoando o projeto de código existente Porto Alegre: Bookman, 2004, ISBN 8536303956.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IRVINE, K. R. C++ and object-oriented programming Upper Saddle River: Prentice-Hall, 1997. 526 p. Bibliografia e indice ISBN 0023598522 (broch.)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BECK, K. Implementation patterns Upper Saddle River, NJ: Addison-Wesley, 2008. ISBN 0321413091.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MARTIN, R. C. Clean code: a handbook of agile software craftsmanship. Prentice Hall, 2009. ISBN 0132350882.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AGANS, D. J. Debugging the nine indispensable rules for finding even the most elusive software and hardware problems. AMACOM, 2002. ISBN 0814471684.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