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Processo de requisitos (16h): definições básicas, eliciação de requisitos, análise de requisitos, especificação de requisitos, verificação e validação de requisitos.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Modelos e métodos da engenharia de requisitos (32).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Gerência de projetos de engenharia de requisitos (8).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Processo de projeto arquitetural (8h): relação com requisitos.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Explicar requisitos de software, a relação dessa área de conhecimento com as demais da engenharia de software, arquitetura de software em especial, e a relação com o conceito de sistema.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Usar um processo de requisitos de software.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Eliciar de requisitos de software.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Construir modelos conceituais de software.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Especificar requisitos de software.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Verificar e validar requisitos de software.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Identificar e utilizar ferramentas de requisitos de software.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Colaborar em uma equipe na execução de um processo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WIEGERS, K. E. Software Requirements. Microsoft Press, 3rd edition, 2013.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ROBERTSON, S. Mastering the Requirements Process: Getting Requirements Right. Addison-Wesley Professional, 3rd edition, 2012.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WINTERS, J. P.; SCHNEIDER, G. Applying use cases: a practical guide,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edition. Addison-Wesley, 2001. (The Addison-Wesley object technology series). ISBN 0201708531.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COCKBURN, A. Writing Effective Use Cases. Addison-Wesley, 2000.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MELLOR, S. J; SHLAER, S. Análise de sistemas orientada para objetos. São Paulo: McGraw-Hill, 1990.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MILLER, G.; ARMOUR, F. Advanced use case modeling: software systems. Boston: Addison-Wesley, 2001. (Addison-Wesley object technology series) ISBN 0201615924.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YOURDON, E.; COAD, P. Análise baseada em objetos. 2a. edição. Rio de Janeiro: Campus, 1996. ISBN 8535200428.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WIEGERS, K. E. More about software requirements: thorny issues and practical advice. Microsoft Press, 2006. ISBN 9780735622678.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