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Padrões de 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(12h): arquitetura de software e padrões de arquitetura (blackboard, microservices, invocação implícita, arquitetura orientada a serviços, multitier, arquitetura orienta a eventos, plugin, filtros e pipes, MVC.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Norma ISO/IEC/IEEE 42010:2011 (8h).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Análise (avaliação) de arquiteturas de software (12h).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Criação de arquiteturas de software (32h). 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Compreender a documentação de arquitetura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padrões de arquitetura e ilustrar o uso.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Documentar arquitetura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Realizar análise de arquitetura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Criar arquitetura de software que se beneficia de padrões de arquitetura.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FOWLER, M., Patterns of Enterprise Application Architecture, ISBN-13: 978-0321127426, Addison-Wesley, 2002.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DAIGNEAU, R., Service Design Patterns, ISBN-13: 978-0321544209, Addison-Wesley, 2011.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BUSCHMAN, F. Pattern-oriented software architecture. Wiley, 2001. ISBN 0471606952.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VERNON, V. Implementing Domain-Driven Design. Addison-Wesley, 2013. ISBN 978-0-321-83457-7.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GAMMA, E. Design patterns elements of reusable object-oriented software. Addison Wesley, 1995. ISBN 0201633612.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TROTT, J.; SHALLOWAY, A. Design patterns explained: a new perspective on object-oriented design. 2nd ed. Addison-Wesley, 2005. ISBN 0321247140.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PREE, W. Design patterns for object-oriented software development. Addison-Wesley, 1995. ISBN 0201422948.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FREEMAN, E. et al. Head First design patterns. O'Reilly, 2004. ISBN 0596007124.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