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Grupo 5:</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Marotta, Alejandro Adrián.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Soria Gava, Lucas Damián.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Tema:</w:t>
      </w:r>
      <w:r w:rsidDel="00000000" w:rsidR="00000000" w:rsidRPr="00000000">
        <w:rPr>
          <w:rtl w:val="0"/>
        </w:rPr>
        <w:t xml:space="preserve"> Análisis del uso de software pirata sobre el software libre o de código abierto.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tema que abordaremos será la preferencia que tienen algunos usuarios de utilizar software “de marca” o propietario pero pirateado, frente a un software que ofrece lo mismo pero es de uso libre. Por ejemplo en el caso más famoso: usar Microsoft Word pirateado para no pagar la costosa licencia, frente a usar Libreoffice que es gratuito y realiza lo mismo.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Haremos un análisis de los peligros que conlleva utilizar software pirata y los problemas de seguridad asociados y el por qué la gente no usa o conoce software libre. Hablaremos de los beneficios de utilizar software libre y por qué es la mejor alternativa si no se quiere pagar por los de tipo propietario. Además analizaremos porque se percibe que un software pirateado puede ser de mejor calidad frente a esta alternativas por el solo hecho de que ya son conocidos, es decir intentar entender la preferencia de los usuarios.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Por último, veremos si la producción de software libre cumple con algún modelo de excelencia y el rol que cumple la comunidad en su mejora continua.</w:t>
      </w:r>
    </w:p>
    <w:p w:rsidR="00000000" w:rsidDel="00000000" w:rsidP="00000000" w:rsidRDefault="00000000" w:rsidRPr="00000000" w14:paraId="0000000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