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0"/>
        </w:rPr>
        <w:t>Vertragsanalyse</w:t>
      </w:r>
    </w:p>
    <w:p>
      <w:pPr>
        <w:jc w:val="center"/>
      </w:pPr>
      <w:r>
        <w:rPr>
          <w:color w:val="1E3A5F"/>
          <w:sz w:val="28"/>
        </w:rPr>
        <w:t>Muster-Consultingvertrag-Deutsch (KfW)</w:t>
      </w:r>
    </w:p>
    <w:p>
      <w:r>
        <w:rPr>
          <w:b/>
          <w:sz w:val="20"/>
        </w:rPr>
        <w:t xml:space="preserve">Analysedatum: </w:t>
      </w:r>
      <w:r>
        <w:rPr>
          <w:sz w:val="20"/>
        </w:rPr>
        <w:t>2026-04-16</w:t>
      </w:r>
    </w:p>
    <w:p>
      <w:r>
        <w:rPr>
          <w:b/>
          <w:sz w:val="20"/>
        </w:rPr>
        <w:t xml:space="preserve">Status: </w:t>
      </w:r>
      <w:r>
        <w:rPr>
          <w:sz w:val="20"/>
        </w:rPr>
        <w:t>Abgeschlossen</w:t>
      </w:r>
    </w:p>
    <w:p>
      <w:r>
        <w:rPr>
          <w:b/>
          <w:sz w:val="20"/>
        </w:rPr>
        <w:t xml:space="preserve">Analysiert mit: </w:t>
      </w:r>
      <w:r>
        <w:rPr>
          <w:sz w:val="20"/>
        </w:rPr>
        <w:t>Vertragsmanagement-Workflow v1.0</w:t>
      </w:r>
    </w:p>
    <w:p/>
    <w:p>
      <w:pPr>
        <w:pStyle w:val="Heading2"/>
      </w:pPr>
      <w:r>
        <w:rPr>
          <w:sz w:val="26"/>
        </w:rPr>
        <w:t>1. Vertragsparteien</w:t>
      </w:r>
    </w:p>
    <w:p>
      <w:r>
        <w:rPr>
          <w:sz w:val="20"/>
        </w:rPr>
        <w:t>| Rolle | Bezeichnung | Details |</w:t>
      </w:r>
    </w:p>
    <w:p>
      <w:r>
        <w:rPr>
          <w:sz w:val="20"/>
        </w:rPr>
        <w:t>|---|---|---|</w:t>
      </w:r>
    </w:p>
    <w:p>
      <w:r>
        <w:rPr>
          <w:sz w:val="20"/>
        </w:rPr>
        <w:t>| Partei A | Auftraggeber (AG) | [●] – projektspezifisch zu benennen |</w:t>
      </w:r>
    </w:p>
    <w:p>
      <w:r>
        <w:rPr>
          <w:sz w:val="20"/>
        </w:rPr>
        <w:t>| Partei B | Consultant | [●] – Fachunternehmen oder Fachperson |</w:t>
      </w:r>
    </w:p>
    <w:p>
      <w:r>
        <w:rPr>
          <w:sz w:val="20"/>
        </w:rPr>
        <w:t>| Dritte | KfW (Kreditanstalt für Wiederaufbau) | Palmengartenstraße 5–9, 60325 Frankfurt am Main – agiert als Finanzierungsgeber mit umfangreichen Zustimmungsrechten |</w:t>
      </w:r>
    </w:p>
    <w:p>
      <w:r>
        <w:rPr>
          <w:sz w:val="20"/>
        </w:rPr>
        <w:t>Besonderheit: Die KfW ist keine direkte Vertragspartei, hat aber umfangreiche Zustimmungsrechte (Personalwechsel, Leistungsänderungen, Kündigung, Unterverträge) und kann als Geschäftsbesorger des AG auftreten.</w:t>
      </w:r>
    </w:p>
    <w:p/>
    <w:p>
      <w:pPr>
        <w:pStyle w:val="Heading2"/>
      </w:pPr>
      <w:r>
        <w:rPr>
          <w:sz w:val="26"/>
        </w:rPr>
        <w:t>2. Vertragstyp &amp; Gegenstand</w:t>
      </w:r>
    </w:p>
    <w:p>
      <w:pPr>
        <w:pStyle w:val="ListBullet"/>
      </w:pPr>
      <w:r>
        <w:rPr>
          <w:b/>
          <w:sz w:val="20"/>
        </w:rPr>
        <w:t xml:space="preserve">Vertragstyp (BGB-Systematik): </w:t>
      </w:r>
      <w:r>
        <w:rPr>
          <w:sz w:val="20"/>
        </w:rPr>
        <w:t>Dienstvertrag mit werkvertraglichen Elementen (§§ 611 ff. BGB), international ausgerichtet nach FIDIC White Book-Systematik. Rechtswahl ist offen – Besondere Bedingungen legen die anwendbare Rechtsordnung fest (KfW-Empfehlung: deutsches Recht).</w:t>
      </w:r>
    </w:p>
    <w:p>
      <w:pPr>
        <w:pStyle w:val="ListBullet"/>
      </w:pPr>
      <w:r>
        <w:rPr>
          <w:b/>
          <w:sz w:val="20"/>
        </w:rPr>
        <w:t xml:space="preserve">Leistungsgegenstand: </w:t>
      </w:r>
      <w:r>
        <w:rPr>
          <w:sz w:val="20"/>
        </w:rPr>
        <w:t>Erbringung von Consultingleistungen für ein KfW-finanziertes Projekt. Umfasst alle in Anlage 3 (ToR), Anlage 2 (Verhandlungsprotokolle) und Anlage 9 (Angebot des Consultants) beschriebenen Teilleistungen inkl. aller „üblichen Leistungen" (§ 3.2.1), die zur ordnungsgemäßen Vertragserfüllung erforderlich sind – auch wenn nicht explizit aufgeführt.</w:t>
      </w:r>
    </w:p>
    <w:p>
      <w:pPr>
        <w:pStyle w:val="ListBullet"/>
      </w:pPr>
      <w:r>
        <w:rPr>
          <w:b/>
          <w:sz w:val="20"/>
        </w:rPr>
        <w:t xml:space="preserve">Vergütung / Vertragswert: </w:t>
      </w:r>
      <w:r>
        <w:rPr>
          <w:sz w:val="20"/>
        </w:rPr>
        <w:t>[●] – in Anlage 8 (Kostenaufstellung) und den Besonderen Bedingungen spezifiziert. Währungsregelung in den Besonderen Bedingungen.</w:t>
      </w:r>
    </w:p>
    <w:p/>
    <w:p>
      <w:pPr>
        <w:pStyle w:val="Heading2"/>
      </w:pPr>
      <w:r>
        <w:rPr>
          <w:sz w:val="26"/>
        </w:rPr>
        <w:t>3. Laufzeit &amp; Fristen</w:t>
      </w:r>
    </w:p>
    <w:p>
      <w:r>
        <w:rPr>
          <w:sz w:val="20"/>
        </w:rPr>
        <w:t>| Frist / Ereignis | Regelung | Paragraph |</w:t>
      </w:r>
    </w:p>
    <w:p>
      <w:r>
        <w:rPr>
          <w:sz w:val="20"/>
        </w:rPr>
        <w:t>|---|---|---|</w:t>
      </w:r>
    </w:p>
    <w:p>
      <w:r>
        <w:rPr>
          <w:sz w:val="20"/>
        </w:rPr>
        <w:t>| Inkrafttreten | Nach Unterzeichnung beider Parteien UND Mitteilung der KfW über Auszahlungsvoraussetzungen | § 1.7.1 |</w:t>
      </w:r>
    </w:p>
    <w:p>
      <w:r>
        <w:rPr>
          <w:sz w:val="20"/>
        </w:rPr>
        <w:t>| Ausführungsbeginn | [●] Wochen nach Inkrafttreten oder absolutes Datum [●] | Besondere Bedingungen zu 1.1 |</w:t>
      </w:r>
    </w:p>
    <w:p>
      <w:r>
        <w:rPr>
          <w:sz w:val="20"/>
        </w:rPr>
        <w:t>| Fertigstellungszeit | [●] – projektspezifisch | Besondere Bedingungen zu 1.1 |</w:t>
      </w:r>
    </w:p>
    <w:p>
      <w:r>
        <w:rPr>
          <w:sz w:val="20"/>
        </w:rPr>
        <w:t>| Anzahlung | Fällig innerhalb 30 Tagen nach Inkrafttreten | § 5.2.1(a) |</w:t>
      </w:r>
    </w:p>
    <w:p>
      <w:r>
        <w:rPr>
          <w:sz w:val="20"/>
        </w:rPr>
        <w:t>| Zwischenzahlungen | Quartallich, erste Rechnung frühestens 3 Monate nach Leistungsbeginn | § 5.2.1(b) |</w:t>
      </w:r>
    </w:p>
    <w:p>
      <w:r>
        <w:rPr>
          <w:sz w:val="20"/>
        </w:rPr>
        <w:t>| Zahlungsfrist | 60 Tage ab Vorlage prüfbarer Rechnung | § 5.5.1 |</w:t>
      </w:r>
    </w:p>
    <w:p>
      <w:r>
        <w:rPr>
          <w:sz w:val="20"/>
        </w:rPr>
        <w:t>| Preisgleitung | Preise gelten für Fertigstellungszeit zzgl. 3 Monate, danach Anpassung möglich | § 5.4.1 |</w:t>
      </w:r>
    </w:p>
    <w:p>
      <w:r>
        <w:rPr>
          <w:sz w:val="20"/>
        </w:rPr>
        <w:t>| Ordentliche Kündigung (AG) | Schriftlich mit mindestens 30 Tagen Vorabmitteilung | § 4.6.1 |</w:t>
      </w:r>
    </w:p>
    <w:p>
      <w:r>
        <w:rPr>
          <w:sz w:val="20"/>
        </w:rPr>
        <w:t>| Kündigung bei Leistungsdefizit | AG mahnt → Consultant hat 21 Tage zur Behebung → dann Recht zur Kündigung | § 4.6.2 |</w:t>
      </w:r>
    </w:p>
    <w:p>
      <w:r>
        <w:rPr>
          <w:sz w:val="20"/>
        </w:rPr>
        <w:t>| Kündigung durch Consultant (Zahlungsverzug) | Rechnung offen nach 60 Tagen → Mahnung → weitere 30 Tage Frist → dann Kündigung möglich | § 4.6.3 |</w:t>
      </w:r>
    </w:p>
    <w:p>
      <w:r>
        <w:rPr>
          <w:sz w:val="20"/>
        </w:rPr>
        <w:t>| Höhere Gewalt – Meldepflicht | Mitteilung innerhalb 2 Wochen nach Eintreten | § 4.5.1 |</w:t>
      </w:r>
    </w:p>
    <w:p>
      <w:r>
        <w:rPr>
          <w:sz w:val="20"/>
        </w:rPr>
        <w:t>| Höhere Gewalt – Kündigungsrecht | Nach 180 Tagen andauernder Unmöglichkeit | § 4.5.2 / § 4.6.1 |</w:t>
      </w:r>
    </w:p>
    <w:p>
      <w:r>
        <w:rPr>
          <w:sz w:val="20"/>
        </w:rPr>
        <w:t>| Streitbeilegung – Verhandlung | Treffen innerhalb 21 Tagen nach schriftlichem Verlangen | § 8.1.1 |</w:t>
      </w:r>
    </w:p>
    <w:p>
      <w:r>
        <w:rPr>
          <w:sz w:val="20"/>
        </w:rPr>
        <w:t>| Streitbeilegung – Mediation | Falls keine Einigung nach 3 Monaten | § 8.2.1 |</w:t>
      </w:r>
    </w:p>
    <w:p>
      <w:r>
        <w:rPr>
          <w:sz w:val="20"/>
        </w:rPr>
        <w:t>| Mediation – Start | Spätestens 21 Tage nach Mediatorbestellung | § 8.2.1 |</w:t>
      </w:r>
    </w:p>
    <w:p>
      <w:r>
        <w:rPr>
          <w:sz w:val="20"/>
        </w:rPr>
        <w:t>| Schiedsverfahren | Wenn Mediation nach 3 Monaten erfolglos → ICC Paris | § 8.2.2 / § 8.3.1 |</w:t>
      </w:r>
    </w:p>
    <w:p>
      <w:r>
        <w:rPr>
          <w:sz w:val="20"/>
        </w:rPr>
        <w:t>| Nachvertragliche Auskunftspflicht | 24 Monate nach Vertragsende | § 1.10.3 |</w:t>
      </w:r>
    </w:p>
    <w:p>
      <w:r>
        <w:rPr>
          <w:sz w:val="20"/>
        </w:rPr>
        <w:t>| Geheimhaltung | Unbefristet nach Vertragsende | § 1.12.1 |</w:t>
      </w:r>
    </w:p>
    <w:p>
      <w:r>
        <w:rPr>
          <w:sz w:val="20"/>
        </w:rPr>
        <w:t>| Haftungszeitraum | Endet mit Abnahme der Leistungen bzw. vollständiger Erbringung | § 6.3.1 |</w:t>
      </w:r>
    </w:p>
    <w:p/>
    <w:p>
      <w:pPr>
        <w:pStyle w:val="Heading2"/>
      </w:pPr>
      <w:r>
        <w:rPr>
          <w:sz w:val="26"/>
        </w:rPr>
        <w:t>4. Kernpflichten</w:t>
      </w:r>
    </w:p>
    <w:p>
      <w:r>
        <w:rPr>
          <w:b/>
          <w:color w:val="374151"/>
          <w:sz w:val="22"/>
        </w:rPr>
        <w:t>Pflichten Auftraggeber (AG):</w:t>
      </w:r>
    </w:p>
    <w:p>
      <w:pPr>
        <w:pStyle w:val="ListBullet"/>
      </w:pPr>
      <w:r>
        <w:rPr>
          <w:sz w:val="20"/>
        </w:rPr>
        <w:t>Kostenlose Bereitstellung aller verfügbaren Daten, Unterlagen und Informationen (§ 2.1.1)</w:t>
      </w:r>
    </w:p>
    <w:p>
      <w:pPr>
        <w:pStyle w:val="ListBullet"/>
      </w:pPr>
      <w:r>
        <w:rPr>
          <w:sz w:val="20"/>
        </w:rPr>
        <w:t>Entscheidungen und Mitwirkungshandlungen innerhalb der in den Besonderen Bedingungen bestimmten Frist (§ 2.2.1)</w:t>
      </w:r>
    </w:p>
    <w:p>
      <w:pPr>
        <w:pStyle w:val="ListBullet"/>
      </w:pPr>
      <w:r>
        <w:rPr>
          <w:sz w:val="20"/>
        </w:rPr>
        <w:t>Unterstützung bei Visa, Einreise, Zollabfertigung, Deviseneinfuhr/-ausfuhr für ausländisches Personal (§ 2.3.2)</w:t>
      </w:r>
    </w:p>
    <w:p>
      <w:pPr>
        <w:pStyle w:val="ListBullet"/>
      </w:pPr>
      <w:r>
        <w:rPr>
          <w:sz w:val="20"/>
        </w:rPr>
        <w:t>Steuerbefreiung oder Erstattung von Steuern/Abgaben für Consultant und ausländisches Personal im Projektland (§ 2.4)</w:t>
      </w:r>
    </w:p>
    <w:p>
      <w:pPr>
        <w:pStyle w:val="ListBullet"/>
      </w:pPr>
      <w:r>
        <w:rPr>
          <w:sz w:val="20"/>
        </w:rPr>
        <w:t>Kostenlose Bereitstellung von Ausrüstung und Büros gemäß Anlage 6 (§ 2.5)</w:t>
      </w:r>
    </w:p>
    <w:p>
      <w:pPr>
        <w:pStyle w:val="ListBullet"/>
      </w:pPr>
      <w:r>
        <w:rPr>
          <w:sz w:val="20"/>
        </w:rPr>
        <w:t>Zahlung der vereinbarten Vergütung nach Zahlungsplan (§ 5.2)</w:t>
      </w:r>
    </w:p>
    <w:p>
      <w:r>
        <w:rPr>
          <w:b/>
          <w:color w:val="374151"/>
          <w:sz w:val="22"/>
        </w:rPr>
        <w:t>Pflichten Consultant:</w:t>
      </w:r>
    </w:p>
    <w:p>
      <w:pPr>
        <w:pStyle w:val="ListBullet"/>
      </w:pPr>
      <w:r>
        <w:rPr>
          <w:sz w:val="20"/>
        </w:rPr>
        <w:t>Vollständige und termingerechte Leistungserbringung inkl. aller „üblichen Leistungen" (§ 3.1, § 3.2.1)</w:t>
      </w:r>
    </w:p>
    <w:p>
      <w:pPr>
        <w:pStyle w:val="ListBullet"/>
      </w:pPr>
      <w:r>
        <w:rPr>
          <w:sz w:val="20"/>
        </w:rPr>
        <w:t>Einhaltung berufsständischer Sorgfaltspflicht nach Stand der Wissenschaft und Technik (§ 3.3.1)</w:t>
      </w:r>
    </w:p>
    <w:p>
      <w:pPr>
        <w:pStyle w:val="ListBullet"/>
      </w:pPr>
      <w:r>
        <w:rPr>
          <w:sz w:val="20"/>
        </w:rPr>
        <w:t>Dokumentationspflicht aller Arbeiten, Entscheidungen und Projektverläufe (§ 3.3.1)</w:t>
      </w:r>
    </w:p>
    <w:p>
      <w:pPr>
        <w:pStyle w:val="ListBullet"/>
      </w:pPr>
      <w:r>
        <w:rPr>
          <w:sz w:val="20"/>
        </w:rPr>
        <w:t>Quartalsberichte (bei längerfristigen Einsätzen) und Schlussbericht (§ 3.4.1)</w:t>
      </w:r>
    </w:p>
    <w:p>
      <w:pPr>
        <w:pStyle w:val="ListBullet"/>
      </w:pPr>
      <w:r>
        <w:rPr>
          <w:sz w:val="20"/>
        </w:rPr>
        <w:t>Sofortmeldung außergewöhnlicher Umstände (§ 3.4.2)</w:t>
      </w:r>
    </w:p>
    <w:p>
      <w:pPr>
        <w:pStyle w:val="ListBullet"/>
      </w:pPr>
      <w:r>
        <w:rPr>
          <w:sz w:val="20"/>
        </w:rPr>
        <w:t>Einsatz des in Anlage 5 benannten Schlüsselpersonals; Austausch nur mit AG/KfW-Genehmigung (§ 3.5)</w:t>
      </w:r>
    </w:p>
    <w:p>
      <w:pPr>
        <w:pStyle w:val="ListBullet"/>
      </w:pPr>
      <w:r>
        <w:rPr>
          <w:sz w:val="20"/>
        </w:rPr>
        <w:t>Ersatz erkrankter Mitarbeiter (Ausfall &gt; 1 Monat) durch gleichwertig qualifizierte Person (§ 3.5.4)</w:t>
      </w:r>
    </w:p>
    <w:p>
      <w:pPr>
        <w:pStyle w:val="ListBullet"/>
      </w:pPr>
      <w:r>
        <w:rPr>
          <w:sz w:val="20"/>
        </w:rPr>
        <w:t>Kosten für eigeninitiierten Personalwechsel trägt Consultant (§ 3.5.6)</w:t>
      </w:r>
    </w:p>
    <w:p>
      <w:r>
        <w:rPr>
          <w:b/>
          <w:color w:val="374151"/>
          <w:sz w:val="22"/>
        </w:rPr>
        <w:t>Relevante Nebenpflichten:</w:t>
      </w:r>
    </w:p>
    <w:p>
      <w:pPr>
        <w:pStyle w:val="ListBullet"/>
      </w:pPr>
      <w:r>
        <w:rPr>
          <w:sz w:val="20"/>
        </w:rPr>
        <w:t>Geheimhaltung (unbefristet, auch nach Vertragsende) inkl. Bindung aller Mitarbeiter (§ 1.12)</w:t>
      </w:r>
    </w:p>
    <w:p>
      <w:pPr>
        <w:pStyle w:val="ListBullet"/>
      </w:pPr>
      <w:r>
        <w:rPr>
          <w:b/>
          <w:sz w:val="20"/>
        </w:rPr>
        <w:t xml:space="preserve">Urheberrechtsübertragung: </w:t>
      </w:r>
      <w:r>
        <w:rPr>
          <w:sz w:val="20"/>
        </w:rPr>
        <w:t>Alle Arbeitsergebnisse gehen vollständig (inkl. Bearbeitungsrecht) auf AG über; Verzicht auf Urheberpersönlichkeitsrechte erforderlich (§ 1.10.1–1.10.2)</w:t>
      </w:r>
    </w:p>
    <w:p>
      <w:pPr>
        <w:pStyle w:val="ListBullet"/>
      </w:pPr>
      <w:r>
        <w:rPr>
          <w:sz w:val="20"/>
        </w:rPr>
        <w:t>Korruptions- und Betrugsverbot mit Meldepflicht bei Aufforderung zu illegalen Zahlungen (§ 1.14)</w:t>
      </w:r>
    </w:p>
    <w:p>
      <w:pPr>
        <w:pStyle w:val="ListBullet"/>
      </w:pPr>
      <w:r>
        <w:rPr>
          <w:b/>
          <w:sz w:val="20"/>
        </w:rPr>
        <w:t xml:space="preserve">Interessenkonflikte: </w:t>
      </w:r>
      <w:r>
        <w:rPr>
          <w:sz w:val="20"/>
        </w:rPr>
        <w:t>Consultant darf sich nicht als Lieferant/Bauunternehmer für dasselbe Projekt bewerben (§ 3.7.1)</w:t>
      </w:r>
    </w:p>
    <w:p>
      <w:pPr>
        <w:pStyle w:val="ListBullet"/>
      </w:pPr>
      <w:r>
        <w:rPr>
          <w:sz w:val="20"/>
        </w:rPr>
        <w:t>Abtretungs-/Untervertragsverbot ohne schriftliche AG/KfW-Zustimmung (§ 1.9)</w:t>
      </w:r>
    </w:p>
    <w:p>
      <w:pPr>
        <w:pStyle w:val="ListBullet"/>
      </w:pPr>
      <w:r>
        <w:rPr>
          <w:sz w:val="20"/>
        </w:rPr>
        <w:t>Nachvertragliche Auskunftspflicht für 24 Monate (§ 1.10.3)</w:t>
      </w:r>
    </w:p>
    <w:p>
      <w:pPr>
        <w:pStyle w:val="ListBullet"/>
      </w:pPr>
      <w:r>
        <w:rPr>
          <w:sz w:val="20"/>
        </w:rPr>
        <w:t>Rückerstattungen direkt an KfW (§ 1.15)</w:t>
      </w:r>
    </w:p>
    <w:p>
      <w:pPr>
        <w:pStyle w:val="ListBullet"/>
      </w:pPr>
      <w:r>
        <w:rPr>
          <w:b/>
          <w:sz w:val="20"/>
        </w:rPr>
        <w:t xml:space="preserve">Versicherungspflichten: </w:t>
      </w:r>
      <w:r>
        <w:rPr>
          <w:sz w:val="20"/>
        </w:rPr>
        <w:t>Berufshaftpflicht, Privathaftpflicht, Sachversicherung, Kfz-Haftpflicht/-Vollkasko (§ 7.1)</w:t>
      </w:r>
    </w:p>
    <w:p/>
    <w:p>
      <w:pPr>
        <w:pStyle w:val="Heading2"/>
      </w:pPr>
      <w:r>
        <w:rPr>
          <w:sz w:val="26"/>
        </w:rPr>
        <w:t>5. Rechtliche Risiken &amp; Auffälligkeiten</w:t>
      </w:r>
    </w:p>
    <w:p>
      <w:r>
        <w:rPr>
          <w:b/>
          <w:color w:val="374151"/>
          <w:sz w:val="22"/>
        </w:rPr>
        <w:t>5.1 Strukturelle Risiken (Mustervertrag)</w:t>
      </w:r>
    </w:p>
    <w:p>
      <w:r>
        <w:rPr>
          <w:sz w:val="20"/>
        </w:rPr>
        <w:t>Unvollständige Besondere Bedingungen – Hohes Risiko:</w:t>
      </w:r>
    </w:p>
    <w:p>
      <w:r>
        <w:rPr>
          <w:sz w:val="20"/>
        </w:rPr>
        <w:t>Der Mustervertrag enthält zahlreiche [●]-Platzhalter in den Besonderen Bedingungen, die zwingend vor Unterzeichnung ausgefüllt werden müssen. Kritisch: Fertigstellungszeit, Ausführungsbeginn, anwendbares Recht, Vergütung, Währung, Entscheidungsfristen des AG, Berichtsformat. Ein unvollständig ausgefüllter Vertrag ist faktisch nicht vollziehbar.</w:t>
      </w:r>
    </w:p>
    <w:p>
      <w:r>
        <w:rPr>
          <w:b/>
          <w:color w:val="374151"/>
          <w:sz w:val="22"/>
        </w:rPr>
        <w:t>5.2 Vergütung &amp; Zahlungsrisiken</w:t>
      </w:r>
    </w:p>
    <w:p>
      <w:r>
        <w:rPr>
          <w:sz w:val="20"/>
        </w:rPr>
        <w:t>Zahlungsfrist 60 Tage (§ 5.5.1):</w:t>
      </w:r>
    </w:p>
    <w:p>
      <w:r>
        <w:rPr>
          <w:sz w:val="20"/>
        </w:rPr>
        <w:t>Ungewöhnlich lang im deutschen Rechtsraum (BGB-Standard: 30 Tage gemäß § 286 Abs. 3 BGB). Bei internationalen Projekten marktüblich; dennoch beachtenswert für Liquiditätsplanung des Consultants.</w:t>
      </w:r>
    </w:p>
    <w:p>
      <w:r>
        <w:rPr>
          <w:sz w:val="20"/>
        </w:rPr>
        <w:t>Aussetzungsrecht des AG bei Minderleistung (§ 5.2.1(b)):</w:t>
      </w:r>
    </w:p>
    <w:p>
      <w:r>
        <w:rPr>
          <w:sz w:val="20"/>
        </w:rPr>
        <w:t>Der AG kann Zwischenzahlungen bei „erheblichen Abweichungen" ohne präzise Definition dieses Schwellenwerts aussetzen. Das schafft ein erhebliches Missbrauchspotenzial gegen den Consultant.</w:t>
      </w:r>
    </w:p>
    <w:p>
      <w:r>
        <w:rPr>
          <w:sz w:val="20"/>
        </w:rPr>
        <w:t>Preisgleitungsformel (§ 5.4.1):</w:t>
      </w:r>
    </w:p>
    <w:p>
      <w:r>
        <w:rPr>
          <w:sz w:val="20"/>
        </w:rPr>
        <w:t>Die Formel `Pn = Po · (0,15 + 0,85 · Ln/Lo)` beinhaltet einen fixen Kostenanteil von 15 %, der nicht indexiert wird. Bei hoher Inflation kann dies den Consultant erheblich benachteiligen.</w:t>
      </w:r>
    </w:p>
    <w:p>
      <w:r>
        <w:rPr>
          <w:b/>
          <w:color w:val="374151"/>
          <w:sz w:val="22"/>
        </w:rPr>
        <w:t>5.3 Haftungsrisiken</w:t>
      </w:r>
    </w:p>
    <w:p>
      <w:r>
        <w:rPr>
          <w:sz w:val="20"/>
        </w:rPr>
        <w:t>Haftungsbegrenzung des Consultants (§ 6.1.1):</w:t>
      </w:r>
    </w:p>
    <w:p>
      <w:r>
        <w:rPr>
          <w:sz w:val="20"/>
        </w:rPr>
        <w:t>Haftung für Fahrlässigkeit ist auf die Versicherungssumme oder den Auftragswert begrenzt – je nachdem, welcher Betrag höher ist. Setzt voraus, dass ausreichender Versicherungsschutz tatsächlich besteht. Ist die Versicherungssumme &lt; Auftragswert, haftet der Consultant bis zum vollen Auftragswert.</w:t>
      </w:r>
    </w:p>
    <w:p>
      <w:r>
        <w:rPr>
          <w:sz w:val="20"/>
        </w:rPr>
        <w:t>Folgeschädenausschluss (§ 6.4.1):</w:t>
      </w:r>
    </w:p>
    <w:p>
      <w:r>
        <w:rPr>
          <w:sz w:val="20"/>
        </w:rPr>
        <w:t>Folgeschäden sind ausgeschlossen – jedoch kann dieser Ausschluss in bestimmten Rechtsordnungen (v.a. außerhalb Deutschland) unwirksam sein. Ohne klare Rechtswahl besteht Rechtsunsicherheit.</w:t>
      </w:r>
    </w:p>
    <w:p>
      <w:r>
        <w:rPr>
          <w:sz w:val="20"/>
        </w:rPr>
        <w:t>Haftung für Unterauftragnehmer (§ 6.2.1):</w:t>
      </w:r>
    </w:p>
    <w:p>
      <w:r>
        <w:rPr>
          <w:sz w:val="20"/>
        </w:rPr>
        <w:t>Consultant haftet vollständig für Unterauftragnehmer, ohne dass die Haftungsbegrenzung des § 6.1.1 explizit auf diese Konstellation angewendet wird.</w:t>
      </w:r>
    </w:p>
    <w:p>
      <w:r>
        <w:rPr>
          <w:b/>
          <w:color w:val="374151"/>
          <w:sz w:val="22"/>
        </w:rPr>
        <w:t>5.4 Kündigung &amp; Vertragsbeendigung</w:t>
      </w:r>
    </w:p>
    <w:p>
      <w:r>
        <w:rPr>
          <w:sz w:val="20"/>
        </w:rPr>
        <w:t>Kurze Kündigungsfrist des AG (§ 4.6.1):</w:t>
      </w:r>
    </w:p>
    <w:p>
      <w:r>
        <w:rPr>
          <w:sz w:val="20"/>
        </w:rPr>
        <w:t>30 Tage Frist ist für größere Consulting-Projekte sehr kurz. Der Consultant trägt das Risiko, bereits mobilisiertes Personal und laufende Kosten nicht vollständig abrechnen zu können, wenn der AG nach § 4.6.5 wegen Verschuldens kündigt.</w:t>
      </w:r>
    </w:p>
    <w:p>
      <w:r>
        <w:rPr>
          <w:sz w:val="20"/>
        </w:rPr>
        <w:t>Sanktion bei Interessenkonflikt (§ 3.7.1):</w:t>
      </w:r>
    </w:p>
    <w:p>
      <w:r>
        <w:rPr>
          <w:sz w:val="20"/>
        </w:rPr>
        <w:t>Sofortige Kündigung + Erstattung aller AG-Kosten und -Schäden ist eine potenziell unverhältnismäßige Sanktion. Bei deutschem Recht: Überprüfung auf AGB-Widrigkeit gem. § 307 BGB empfohlen.</w:t>
      </w:r>
    </w:p>
    <w:p>
      <w:r>
        <w:rPr>
          <w:b/>
          <w:color w:val="374151"/>
          <w:sz w:val="22"/>
        </w:rPr>
        <w:t>5.5 KfW-Zustimmungsvorbehalte</w:t>
      </w:r>
    </w:p>
    <w:p>
      <w:r>
        <w:rPr>
          <w:sz w:val="20"/>
        </w:rPr>
        <w:t>Umfangreiche KfW-Zustimmungsrechte:</w:t>
      </w:r>
    </w:p>
    <w:p>
      <w:r>
        <w:rPr>
          <w:sz w:val="20"/>
        </w:rPr>
        <w:t>Personalwechsel (§ 3.5.5), Unterverträge (§ 1.9.2), Leistungsänderungen (§ 4.3.1), Kündigung durch AG (§ 4.6.1) – all dies erfordert KfW-Zustimmung. Da die KfW keine direkte Vertragspartei ist, entsteht ein faktisches Dreiecksverhältnis, das Reaktionszeiten und operative Handlungsfähigkeit erheblich einschränken kann. KfW-Reaktionsfristen sind im Muster nicht definiert.</w:t>
      </w:r>
    </w:p>
    <w:p>
      <w:r>
        <w:rPr>
          <w:b/>
          <w:color w:val="374151"/>
          <w:sz w:val="22"/>
        </w:rPr>
        <w:t>5.6 Fehlende Regelungen</w:t>
      </w:r>
    </w:p>
    <w:p>
      <w:pPr>
        <w:pStyle w:val="ListBullet"/>
      </w:pPr>
      <w:r>
        <w:rPr>
          <w:b/>
          <w:sz w:val="20"/>
        </w:rPr>
        <w:t xml:space="preserve">Kein Datenschutz / DSGVO: </w:t>
      </w:r>
      <w:r>
        <w:rPr>
          <w:sz w:val="20"/>
        </w:rPr>
        <w:t>Relevant, falls deutsches Recht gilt oder EU-Bürger als Personal betroffen sind; ein Auftragsverarbeitungsvertrag (AVV) gemäß Art. 28 DSGVO fehlt.</w:t>
      </w:r>
    </w:p>
    <w:p>
      <w:pPr>
        <w:pStyle w:val="ListBullet"/>
      </w:pPr>
      <w:r>
        <w:rPr>
          <w:b/>
          <w:sz w:val="20"/>
        </w:rPr>
        <w:t xml:space="preserve">Keine explizite Abnahme-Prozedur: </w:t>
      </w:r>
      <w:r>
        <w:rPr>
          <w:sz w:val="20"/>
        </w:rPr>
        <w:t>Haftungsende knüpft an Abnahme an (§ 6.3.1), ohne klares Abnahmeverfahren.</w:t>
      </w:r>
    </w:p>
    <w:p>
      <w:pPr>
        <w:pStyle w:val="ListBullet"/>
      </w:pPr>
      <w:r>
        <w:rPr>
          <w:b/>
          <w:sz w:val="20"/>
        </w:rPr>
        <w:t xml:space="preserve">Keine Force-Majeure-Definition für Pandemien/Cyberangriffe: </w:t>
      </w:r>
      <w:r>
        <w:rPr>
          <w:sz w:val="20"/>
        </w:rPr>
        <w:t>§ 1.1 listet nur klassische Ereignisse.</w:t>
      </w:r>
    </w:p>
    <w:p>
      <w:pPr>
        <w:pStyle w:val="ListBullet"/>
      </w:pPr>
      <w:r>
        <w:rPr>
          <w:b/>
          <w:sz w:val="20"/>
        </w:rPr>
        <w:t xml:space="preserve">Kein nachvertragliches Wettbewerbsverbot: </w:t>
      </w:r>
      <w:r>
        <w:rPr>
          <w:sz w:val="20"/>
        </w:rPr>
        <w:t>Nur Interessenkonflikt während der Laufzeit geregelt (§ 3.7.1).</w:t>
      </w:r>
    </w:p>
    <w:p/>
    <w:p>
      <w:pPr>
        <w:pStyle w:val="Heading2"/>
      </w:pPr>
      <w:r>
        <w:rPr>
          <w:sz w:val="26"/>
        </w:rPr>
        <w:t>6. Handlungsempfehlungen</w:t>
      </w:r>
    </w:p>
    <w:p>
      <w:r>
        <w:rPr>
          <w:b/>
          <w:color w:val="374151"/>
          <w:sz w:val="22"/>
        </w:rPr>
        <w:t>Muss (vor Unterzeichnung):</w:t>
      </w:r>
    </w:p>
    <w:p>
      <w:r>
        <w:rPr>
          <w:sz w:val="20"/>
        </w:rPr>
        <w:t>1. Alle [●]-Platzhalter ausfüllen: Fertigstellungszeit, Ausführungsbeginn, Vergütung inkl. Währung, anwendbares Recht, Vertragssprache, Kontaktadressen beider Parteien, Entscheidungsfrist des AG (§ 2.2), Steuerregelung (§ 2.4), Berichtsformat (§ 3.4).</w:t>
      </w:r>
    </w:p>
    <w:p>
      <w:r>
        <w:rPr>
          <w:sz w:val="20"/>
        </w:rPr>
        <w:t>2. Rechtswahl explizit festlegen: KfW empfiehlt deutsches Recht. Falls Projektland außerhalb EU: Prüfung durch lokalen Rechtsberater, ob Anpassungen erforderlich sind.</w:t>
      </w:r>
    </w:p>
    <w:p>
      <w:r>
        <w:rPr>
          <w:sz w:val="20"/>
        </w:rPr>
        <w:t>3. Versicherungsdeckung des Consultants vor Vertragsschluss prüfen: Berufshaftpflicht muss tatsächlich abgeschlossen und auf Auftragswert abgestimmt sein (§ 6.1.1, § 7.1).</w:t>
      </w:r>
    </w:p>
    <w:p>
      <w:r>
        <w:rPr>
          <w:sz w:val="20"/>
        </w:rPr>
        <w:t>4. Schwellenwert für Zahlungsaussetzung konkretisieren: „Erhebliche Abweichung" (§ 5.2.1(b)) muss in den Besonderen Bedingungen messbar definiert werden (z.B. &gt; X % Zeitverzug), sonst willkürliches Instrument gegen den Consultant.</w:t>
      </w:r>
    </w:p>
    <w:p>
      <w:r>
        <w:rPr>
          <w:sz w:val="20"/>
        </w:rPr>
        <w:t>5. Abnahme-Prozedur in Besonderen Bedingungen regeln: Wann gilt eine Leistung als abgenommen? Welche Fristen gelten für Mängelrügen?</w:t>
      </w:r>
    </w:p>
    <w:p>
      <w:r>
        <w:rPr>
          <w:b/>
          <w:color w:val="374151"/>
          <w:sz w:val="22"/>
        </w:rPr>
        <w:t>Sollte (empfohlen):</w:t>
      </w:r>
    </w:p>
    <w:p>
      <w:r>
        <w:rPr>
          <w:sz w:val="20"/>
        </w:rPr>
        <w:t>6. Zahlungsfrist von 60 auf 30 Tage verkürzen (§ 5.5.1): Entspricht deutschem BGB-Standard und verbessert Liquidität des Consultants.</w:t>
      </w:r>
    </w:p>
    <w:p>
      <w:r>
        <w:rPr>
          <w:sz w:val="20"/>
        </w:rPr>
        <w:t>7. Preisgleitungsformel anpassen (§ 5.4.1): Den nicht-indexierten Anteil (15 %) überprüfen und ggf. reduzieren, falls vollständige Preisanpassung gewünscht ist.</w:t>
      </w:r>
    </w:p>
    <w:p>
      <w:r>
        <w:rPr>
          <w:sz w:val="20"/>
        </w:rPr>
        <w:t>8. DSGVO-Klausel ergänzen: Bei EU-Bezug oder deutschen Staatsangehörigen als Personal ist ein AVV gem. Art. 28 DSGVO erforderlich.</w:t>
      </w:r>
    </w:p>
    <w:p>
      <w:r>
        <w:rPr>
          <w:sz w:val="20"/>
        </w:rPr>
        <w:t>9. Force-Majeure-Definition erweitern (§ 1.1): Explizite Aufnahme von Pandemien, Cyberangriffen, Sanktionen.</w:t>
      </w:r>
    </w:p>
    <w:p>
      <w:r>
        <w:rPr>
          <w:sz w:val="20"/>
        </w:rPr>
        <w:t>10. KfW-Reaktionsfristen in Besonderen Bedingungen fixieren: Unbegrenzte KfW-Entscheidungszeiten können den Projektfortschritt blockieren.</w:t>
      </w:r>
    </w:p>
    <w:p>
      <w:r>
        <w:rPr>
          <w:b/>
          <w:color w:val="374151"/>
          <w:sz w:val="22"/>
        </w:rPr>
        <w:t>Kann (optional):</w:t>
      </w:r>
    </w:p>
    <w:p>
      <w:r>
        <w:rPr>
          <w:sz w:val="20"/>
        </w:rPr>
        <w:t>11. Nachvertragliches Wettbewerbsverbot prüfen: Derzeit nur Interessenkonflikt während Laufzeit geregelt; bei sensiblen Projekten empfehlenswert.</w:t>
      </w:r>
    </w:p>
    <w:p>
      <w:r>
        <w:rPr>
          <w:sz w:val="20"/>
        </w:rPr>
        <w:t>12. Eskalationsstufen vor Schiedsverfahren ausbauen: Technisches Expertengremium als Zwischenstufe (FIDIC-Praxis) kann kostspieliges ICC-Schiedsverfahren vermeiden.</w:t>
      </w:r>
    </w:p>
    <w:p>
      <w:r>
        <w:rPr>
          <w:sz w:val="20"/>
        </w:rPr>
        <w:t>13. Digitale Kommunikation modernisieren (§ 1.5.1): S/MIME-Zertifikatspflicht für E-Mails ist praxisfern; qualifizierte elektronische Signatur (QES) nach eIDAS als Alternative prüfen.</w:t>
      </w:r>
    </w:p>
    <w:p/>
    <w:p>
      <w:pPr>
        <w:pStyle w:val="Heading2"/>
      </w:pPr>
      <w:r>
        <w:rPr>
          <w:sz w:val="26"/>
        </w:rPr>
        <w:t>7. Qualitäts-Check</w:t>
      </w:r>
    </w:p>
    <w:p>
      <w:pPr>
        <w:pStyle w:val="ListBullet"/>
      </w:pPr>
      <w:r>
        <w:rPr>
          <w:sz w:val="20"/>
        </w:rPr>
        <w:t>[x] Alle Fristen sind mit exakten Zeiträumen belegt (Tage/Wochen/Monate)</w:t>
      </w:r>
    </w:p>
    <w:p>
      <w:pPr>
        <w:pStyle w:val="ListBullet"/>
      </w:pPr>
      <w:r>
        <w:rPr>
          <w:sz w:val="20"/>
        </w:rPr>
        <w:t>[x] Risiken sind konkret benannt (Paragraphenverweise, kein generisches „könnte problematisch sein")</w:t>
      </w:r>
    </w:p>
    <w:p>
      <w:pPr>
        <w:pStyle w:val="ListBullet"/>
      </w:pPr>
      <w:r>
        <w:rPr>
          <w:sz w:val="20"/>
        </w:rPr>
        <w:t>[x] Handlungsempfehlungen sind umsetzbar und priorisiert nach Muss/Sollte/Kann</w:t>
      </w:r>
    </w:p>
    <w:p>
      <w:pPr>
        <w:pStyle w:val="ListBullet"/>
      </w:pPr>
      <w:r>
        <w:rPr>
          <w:sz w:val="20"/>
        </w:rPr>
        <w:t>[x] Mustercharakter des Dokuments ist transparent dokumentiert ([●]-Stellen explizit aufgeführt)</w:t>
      </w:r>
    </w:p>
    <w:p>
      <w:pPr>
        <w:pStyle w:val="ListBullet"/>
      </w:pPr>
      <w:r>
        <w:rPr>
          <w:sz w:val="20"/>
        </w:rPr>
        <w:t>[x] Rechtlicher Hinweis: Diese Analyse ersetzt keine Rechtsberatung durch einen zugelassenen Anwalt.</w:t>
      </w:r>
    </w:p>
    <w:p>
      <w:r>
        <w:rPr>
          <w:sz w:val="20"/>
        </w:rPr>
        <w:t>Vollständiger Rohtext: 69.610 Zeichen, 49 Seiten | Analysiert nach Vertragsmanagement-Workflow v1.0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color w:val="94A3B8"/>
          <w:sz w:val="18"/>
        </w:rPr>
        <w:t>Erstellt mit Vertragsmanagement v2.0 · 18.04.2026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