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Documentação AS Prática: Lucas de Freitas Espindola.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Classe ItemBiblioteca (Classe Base):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Propriedades: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Id (int)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Titulo (string)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Propriedade protegida: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DescricaoInterna (string)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Construtor: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Inicializa Id e Titulo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Define um valor padrão para DescricaoInterna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Classe Livro (Classe Derivada de ItemBiblioteca):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Herança: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Herda de ItemBiblioteca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Propriedade adicional: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Autor (string)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Construtor: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Recebe id, título e autor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Inicializa a DescricaoInterna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Método: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ExibirDescricaoInterna para imprimir a DescricaoInterna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Classe Biblioteca: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Funcionalidades: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Gerencia uma coleção de ItemBiblioteca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AdicionarItem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RemoverItem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Métodos com sobrecarga: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BuscarItem(string titulo)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BuscarItem(int id)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Instanciei 3 livros e 1 biblioteca.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Adicionei os 3 livros nessa biblioteca chamada Coleção1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Procurei o Item na coleção por TITULO e depois por ID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 em seguida removi os 3 livros da biblioteca como forma de demonstração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