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8"/>
          <w:sz w:val="50"/>
        </w:rPr>
        <w:t>Projet GNL — Arbitrage Europe / Asie</w:t>
      </w:r>
    </w:p>
    <w:p>
      <w:pPr>
        <w:spacing w:after="360"/>
        <w:jc w:val="center"/>
      </w:pPr>
      <w:r>
        <w:rPr>
          <w:b/>
          <w:color w:val="55627A"/>
          <w:sz w:val="27"/>
        </w:rPr>
        <w:t>De la création à l'utilisation — dossier de référence</w:t>
      </w:r>
    </w:p>
    <w:p>
      <w:pPr>
        <w:jc w:val="center"/>
      </w:pPr>
      <w:r>
        <w:rPr>
          <w:b/>
          <w:sz w:val="22"/>
        </w:rPr>
        <w:t>Luca Desplat</w:t>
      </w:r>
    </w:p>
    <w:p>
      <w:pPr>
        <w:jc w:val="center"/>
      </w:pPr>
      <w:r>
        <w:rPr>
          <w:color w:val="55627A"/>
          <w:sz w:val="20"/>
        </w:rPr>
        <w:t>Élève ingénieur ICAM Toulouse — apprenti chargé d'affaires SPIECAPAG (groupe VINCI)</w:t>
      </w:r>
    </w:p>
    <w:p>
      <w:pPr>
        <w:spacing w:after="400"/>
        <w:jc w:val="center"/>
      </w:pPr>
      <w:r>
        <w:rPr>
          <w:color w:val="55627A"/>
          <w:sz w:val="20"/>
        </w:rPr>
        <w:t>15 septembre 2026</w:t>
      </w:r>
    </w:p>
    <w:p>
      <w:pPr>
        <w:spacing w:before="80" w:after="80"/>
        <w:pBdr>
          <w:bottom w:val="single" w:sz="6" w:space="1" w:color="D7E0EA"/>
        </w:pBdr>
      </w:pPr>
    </w:p>
    <w:p>
      <w:pPr>
        <w:spacing w:after="120"/>
      </w:pPr>
      <w:r>
        <w:rPr>
          <w:i/>
          <w:color w:val="101826"/>
          <w:sz w:val="21"/>
        </w:rPr>
        <w:t>Ce document accompagne le repository GitHub du projet (github.com/Lucadsplt/Projet-LNG-Arbitrage). Il répond à trois questions : comment le projet a été construit, jalon par jalon ; comment l'ouvrir, le faire tourner et l'utiliser ; et quelles parties risquent de devenir obsolètes, et à quelle vitesse. Il complète — sans le remplacer — le document « Projet_GNL_Contexte_et_Explications.docx » qui détaille le raisonnement économique de chaque formule.</w:t>
      </w:r>
    </w:p>
    <w:p>
      <w:pPr>
        <w:spacing w:after="80"/>
      </w:pPr>
      <w:r>
        <w:rPr>
          <w:i w:val="0"/>
          <w:color w:val="101826"/>
          <w:sz w:val="21"/>
        </w:rPr>
        <w:t>Sommaire</w:t>
      </w:r>
    </w:p>
    <w:p>
      <w:pPr>
        <w:pStyle w:val="ListBullet"/>
        <w:spacing w:after="60"/>
      </w:pPr>
      <w:r>
        <w:rPr>
          <w:sz w:val="21"/>
        </w:rPr>
        <w:t>1. Pourquoi ce projet</w:t>
      </w:r>
    </w:p>
    <w:p>
      <w:pPr>
        <w:pStyle w:val="ListBullet"/>
        <w:spacing w:after="60"/>
      </w:pPr>
      <w:r>
        <w:rPr>
          <w:sz w:val="21"/>
        </w:rPr>
        <w:t>2. La création, jalon par jalon</w:t>
      </w:r>
    </w:p>
    <w:p>
      <w:pPr>
        <w:pStyle w:val="ListBullet"/>
        <w:spacing w:after="60"/>
      </w:pPr>
      <w:r>
        <w:rPr>
          <w:sz w:val="21"/>
        </w:rPr>
        <w:t>3. Architecture du repository</w:t>
      </w:r>
    </w:p>
    <w:p>
      <w:pPr>
        <w:pStyle w:val="ListBullet"/>
        <w:spacing w:after="60"/>
      </w:pPr>
      <w:r>
        <w:rPr>
          <w:sz w:val="21"/>
        </w:rPr>
        <w:t>4. Utilisation — installer, lancer, ouvrir chaque fichier</w:t>
      </w:r>
    </w:p>
    <w:p>
      <w:pPr>
        <w:pStyle w:val="ListBullet"/>
        <w:spacing w:after="60"/>
      </w:pPr>
      <w:r>
        <w:rPr>
          <w:sz w:val="21"/>
        </w:rPr>
        <w:t>5. Sujets d'obsolescence</w:t>
      </w:r>
    </w:p>
    <w:p>
      <w:pPr>
        <w:pStyle w:val="ListBullet"/>
        <w:spacing w:after="60"/>
      </w:pPr>
      <w:r>
        <w:rPr>
          <w:sz w:val="21"/>
        </w:rPr>
        <w:t>6. Pour aller plus loin</w:t>
      </w:r>
    </w:p>
    <w:p>
      <w:pPr>
        <w:pStyle w:val="ListBullet"/>
        <w:spacing w:after="60"/>
      </w:pPr>
      <w:r>
        <w:rPr>
          <w:sz w:val="21"/>
        </w:rPr>
        <w:t>Annexe — liens utiles</w:t>
      </w:r>
    </w:p>
    <w:p>
      <w:r>
        <w:br w:type="page"/>
      </w:r>
    </w:p>
    <w:p>
      <w:pPr>
        <w:pStyle w:val="Heading1"/>
        <w:spacing w:before="440" w:after="160"/>
      </w:pPr>
      <w:r>
        <w:rPr>
          <w:rFonts w:ascii="Calibri" w:hAnsi="Calibri"/>
          <w:b/>
          <w:color w:val="1F4E78"/>
          <w:sz w:val="32"/>
        </w:rPr>
        <w:t>1. Pourquoi ce projet</w:t>
      </w:r>
    </w:p>
    <w:p>
      <w:pPr>
        <w:spacing w:after="120"/>
      </w:pPr>
      <w:r>
        <w:rPr>
          <w:i w:val="0"/>
          <w:color w:val="101826"/>
          <w:sz w:val="21"/>
        </w:rPr>
        <w:t>Le modèle simule la décision qu'un desk GNL prend chaque jour : une cargaison chargée au Golfe du Mexique (type Sabine Pass, ~3,5 TBtu) doit-elle partir vers l'Europe (valorisée au TTF) ou vers l'Asie (valorisée au JKM) ? Le calcul du netback — la valeur nette de chaque destination, une fois retirés tous les coûts de transport — tranche la question.</w:t>
      </w:r>
    </w:p>
    <w:p>
      <w:pPr>
        <w:spacing w:after="120"/>
      </w:pPr>
      <w:r>
        <w:rPr>
          <w:i w:val="0"/>
          <w:color w:val="101826"/>
          <w:sz w:val="21"/>
        </w:rPr>
        <w:t>L'objectif n'est pas seulement technique : c'est la preuve, pour une candidature au master Energies et Marchés de l'IFP School, que je comprends la mécanique commerciale des marchés gaziers, pas seulement la technique du gaz physique acquise chez SPIECAPAG. Le modèle reconstruit, en Python et en Excel, le raisonnement exact d'un opérateur : « est-ce que l'écart de prix paie le fret ? »</w:t>
      </w:r>
    </w:p>
    <w:p>
      <w:pPr>
        <w:pStyle w:val="Heading1"/>
        <w:spacing w:before="440" w:after="160"/>
      </w:pPr>
      <w:r>
        <w:rPr>
          <w:rFonts w:ascii="Calibri" w:hAnsi="Calibri"/>
          <w:b/>
          <w:color w:val="1F4E78"/>
          <w:sz w:val="32"/>
        </w:rPr>
        <w:t>2. La création, jalon par jalon</w:t>
      </w:r>
    </w:p>
    <w:p>
      <w:pPr>
        <w:spacing w:after="120"/>
      </w:pPr>
      <w:r>
        <w:rPr>
          <w:i w:val="0"/>
          <w:color w:val="101826"/>
          <w:sz w:val="21"/>
        </w:rPr>
        <w:t>Le projet a été construit en 8 jalons successifs avec Claude Code, un module à la fois, chacun validé (compris, expliqué, testé) avant de passer au suivant. 29 tests automatisés (pytest) couvrent toutes les fonctions de calcul.</w:t>
      </w:r>
    </w:p>
    <w:p>
      <w:pPr>
        <w:pStyle w:val="Heading2"/>
        <w:spacing w:before="280" w:after="80"/>
      </w:pPr>
      <w:r>
        <w:rPr>
          <w:rFonts w:ascii="Calibri" w:hAnsi="Calibri"/>
          <w:b/>
          <w:color w:val="C55A11"/>
          <w:sz w:val="25"/>
        </w:rPr>
        <w:t>2.1 — Jalon 1 : squelette et hypothèses (src/config.py)</w:t>
      </w:r>
    </w:p>
    <w:p>
      <w:pPr>
        <w:spacing w:after="120"/>
      </w:pPr>
      <w:r>
        <w:rPr>
          <w:i w:val="0"/>
          <w:color w:val="101826"/>
          <w:sz w:val="21"/>
        </w:rPr>
        <w:t>Toutes les hypothèses métier sont centralisées dans un seul fichier — principe de « source de vérité unique » : aucune constante n'est dupliquée ailleurs dans le code.</w:t>
      </w:r>
    </w:p>
    <w:p>
      <w:pPr>
        <w:pStyle w:val="ListBullet"/>
        <w:spacing w:after="60"/>
      </w:pPr>
      <w:r>
        <w:rPr>
          <w:sz w:val="21"/>
        </w:rPr>
        <w:t>Taille de cargaison : 3,5 TBtu — boil-off : 0,1 %/jour</w:t>
      </w:r>
    </w:p>
    <w:p>
      <w:pPr>
        <w:pStyle w:val="ListBullet"/>
        <w:spacing w:after="60"/>
      </w:pPr>
      <w:r>
        <w:rPr>
          <w:sz w:val="21"/>
        </w:rPr>
        <w:t>Coût FOB : 115 % du Henry Hub + tolling fee de liquéfaction (3,00 $/MMBtu, hypothèse assumée)</w:t>
      </w:r>
    </w:p>
    <w:p>
      <w:pPr>
        <w:pStyle w:val="ListBullet"/>
        <w:spacing w:after="60"/>
      </w:pPr>
      <w:r>
        <w:rPr>
          <w:sz w:val="21"/>
        </w:rPr>
        <w:t>Routes : Europe 14 j · Asie via Panama 27 j (+ péage 900 000 $) · Asie via le Cap 37 j</w:t>
      </w:r>
    </w:p>
    <w:p>
      <w:pPr>
        <w:pStyle w:val="ListBullet"/>
        <w:spacing w:after="60"/>
      </w:pPr>
      <w:r>
        <w:rPr>
          <w:sz w:val="21"/>
        </w:rPr>
        <w:t>Deux hypothèses volontairement fragiles, isolées et documentées : le JKM et le taux d'affrètement — aucune source gratuite fiable n'existe pour ces deux données.</w:t>
      </w:r>
    </w:p>
    <w:p>
      <w:pPr>
        <w:pStyle w:val="Heading2"/>
        <w:spacing w:before="280" w:after="80"/>
      </w:pPr>
      <w:r>
        <w:rPr>
          <w:rFonts w:ascii="Calibri" w:hAnsi="Calibri"/>
          <w:b/>
          <w:color w:val="C55A11"/>
          <w:sz w:val="25"/>
        </w:rPr>
        <w:t>2.2 — Jalon 2 : le netback (src/netback.py)</w:t>
      </w:r>
    </w:p>
    <w:p>
      <w:pPr>
        <w:spacing w:after="120"/>
      </w:pPr>
      <w:r>
        <w:rPr>
          <w:i w:val="0"/>
          <w:color w:val="101826"/>
          <w:sz w:val="21"/>
        </w:rPr>
        <w:t>netback = prix_rendu − coût_FOB − fret − perte_boil-off − frais_regaz. Le point de vigilance : gérer les unités. Le TTF (€/MWh) est converti en $/MMBtu via 1 MWh = 3,412 MMBtu puis le taux EUR/USD, pour devenir comparable au JKM (déjà en $/MMBtu). 4 tests, dont deux scénarios symétriques : l'un où l'écart TTF/JKM couvre le surcoût de transport vers l'Asie, l'autre où non.</w:t>
      </w:r>
    </w:p>
    <w:p>
      <w:pPr>
        <w:pStyle w:val="Heading2"/>
        <w:spacing w:before="280" w:after="80"/>
      </w:pPr>
      <w:r>
        <w:rPr>
          <w:rFonts w:ascii="Calibri" w:hAnsi="Calibri"/>
          <w:b/>
          <w:color w:val="C55A11"/>
          <w:sz w:val="25"/>
        </w:rPr>
        <w:t>2.3 — Jalon 3 : le routing (src/routing.py)</w:t>
      </w:r>
    </w:p>
    <w:p>
      <w:pPr>
        <w:spacing w:after="120"/>
      </w:pPr>
      <w:r>
        <w:rPr>
          <w:i w:val="0"/>
          <w:color w:val="101826"/>
          <w:sz w:val="21"/>
        </w:rPr>
        <w:t>Fait le pont entre les hypothèses de route et le netback : le fret = taux d'affrètement ($/jour) × jours de mer, plus le péage de Panama si la route l'emprunte (montant fixe par transit, pas par jour). Découverte notable en testant : à taux de fret bas, la route du Cap (plus longue, sans péage) peut coûter moins cher que Panama — le péage fixe peut inverser l'arbitrage route courte/route longue.</w:t>
      </w:r>
    </w:p>
    <w:p>
      <w:pPr>
        <w:pStyle w:val="Heading2"/>
        <w:spacing w:before="280" w:after="80"/>
      </w:pPr>
      <w:r>
        <w:rPr>
          <w:rFonts w:ascii="Calibri" w:hAnsi="Calibri"/>
          <w:b/>
          <w:color w:val="C55A11"/>
          <w:sz w:val="25"/>
        </w:rPr>
        <w:t>2.4 — Jalon 4 : les prix de marché (src/data_prices.py)</w:t>
      </w:r>
    </w:p>
    <w:p>
      <w:pPr>
        <w:spacing w:after="120"/>
      </w:pPr>
      <w:r>
        <w:rPr>
          <w:i w:val="0"/>
          <w:color w:val="101826"/>
          <w:sz w:val="21"/>
        </w:rPr>
        <w:t>Récupère TTF et EUR/USD via Yahoo Finance (tickers TTF=F, EURUSD=X), et Henry Hub via l'API officielle EIA en priorité (clé gratuite), avec repli automatique sur Yahoo Finance (NG=F) si la clé est absente. Chaque source est indépendante : si l'une échoue, l'autre est quand même sauvegardée (jamais de tout-ou-rien).</w:t>
      </w:r>
    </w:p>
    <w:p>
      <w:pPr>
        <w:pStyle w:val="Heading2"/>
        <w:spacing w:before="280" w:after="80"/>
      </w:pPr>
      <w:r>
        <w:rPr>
          <w:rFonts w:ascii="Calibri" w:hAnsi="Calibri"/>
          <w:b/>
          <w:color w:val="C55A11"/>
          <w:sz w:val="25"/>
        </w:rPr>
        <w:t>2.5 — Jalon 5 : la donnée physique GIE ALSI (src/data_gie.py)</w:t>
      </w:r>
    </w:p>
    <w:p>
      <w:pPr>
        <w:spacing w:after="120"/>
      </w:pPr>
      <w:r>
        <w:rPr>
          <w:i w:val="0"/>
          <w:color w:val="101826"/>
          <w:sz w:val="21"/>
        </w:rPr>
        <w:t>Récupère le send-out et les stocks des terminaux GNL européens via l'API officielle GIE ALSI (authentification par en-tête x-key). Cette donnée sert uniquement au tableau de bord — elle n'entre dans aucun calcul de netback. Sans clé API, une erreur explicite est levée plutôt qu'un plantage silencieux.</w:t>
      </w:r>
    </w:p>
    <w:p>
      <w:pPr>
        <w:pStyle w:val="Heading2"/>
        <w:spacing w:before="280" w:after="80"/>
      </w:pPr>
      <w:r>
        <w:rPr>
          <w:rFonts w:ascii="Calibri" w:hAnsi="Calibri"/>
          <w:b/>
          <w:color w:val="C55A11"/>
          <w:sz w:val="25"/>
        </w:rPr>
        <w:t>2.6 — Jalon 6 : le modèle Excel (excel/modele_arbitrage.xlsx)</w:t>
      </w:r>
    </w:p>
    <w:p>
      <w:pPr>
        <w:spacing w:after="120"/>
      </w:pPr>
      <w:r>
        <w:rPr>
          <w:i w:val="0"/>
          <w:color w:val="101826"/>
          <w:sz w:val="21"/>
        </w:rPr>
        <w:t>Généré par script (src/build_excel_model.py), pas édité à la main — donc reproductible et versionné. Trois feuilles : Hypothèses (avec menu déroulant Panama/Cap), Netback (les mêmes formules qu'en Python, colonne par colonne), et Sensibilité (grille 7×7 taux de fret × écart JKM-TTF, avec heatmap rouge/vert). Les cellules de la table de sensibilité utilisent des formules explicites plutôt que la fonctionnalité native « Data Table » d'Excel, mal supportée par openpyxl — plus verbeux, mais entièrement auditable. Vérifié par recalcul indépendant (librairie Python « formulas »), sans ouvrir Excel.</w:t>
      </w:r>
    </w:p>
    <w:p>
      <w:pPr>
        <w:pStyle w:val="Heading2"/>
        <w:spacing w:before="280" w:after="80"/>
      </w:pPr>
      <w:r>
        <w:rPr>
          <w:rFonts w:ascii="Calibri" w:hAnsi="Calibri"/>
          <w:b/>
          <w:color w:val="C55A11"/>
          <w:sz w:val="25"/>
        </w:rPr>
        <w:t>2.7 — Jalon 7 : le pont Python → Excel (src/update_excel.py)</w:t>
      </w:r>
    </w:p>
    <w:p>
      <w:pPr>
        <w:spacing w:after="120"/>
      </w:pPr>
      <w:r>
        <w:rPr>
          <w:i w:val="0"/>
          <w:color w:val="101826"/>
          <w:sz w:val="21"/>
        </w:rPr>
        <w:t>Réinjecte les dernières valeurs TTF/Henry Hub/EUR-USD dans le classeur, sans jamais toucher aux formules : seules 3 cellules précises sont écrites, tout le reste est recopié à l'identique. Un test vérifie explicitement que plus de 50 formules restent inchangées après mise à jour. Le run réel du 15/09/2026 a révélé un cas concret : le TTF a bondi de ~42 à ~79 €/MWh depuis le test du Jalon 4, faisant basculer la recommandation vers l'Europe alors que le JKM restait à son ancienne valeur manuelle — preuve vivante de pourquoi les hypothèses fragiles doivent être réactualisées en même temps que les données live.</w:t>
      </w:r>
    </w:p>
    <w:p>
      <w:pPr>
        <w:pStyle w:val="Heading2"/>
        <w:spacing w:before="280" w:after="80"/>
      </w:pPr>
      <w:r>
        <w:rPr>
          <w:rFonts w:ascii="Calibri" w:hAnsi="Calibri"/>
          <w:b/>
          <w:color w:val="C55A11"/>
          <w:sz w:val="25"/>
        </w:rPr>
        <w:t>2.8 — Jalon 8 : graphes, note et lancement en une commande</w:t>
      </w:r>
    </w:p>
    <w:p>
      <w:pPr>
        <w:spacing w:after="120"/>
      </w:pPr>
      <w:r>
        <w:rPr>
          <w:i w:val="0"/>
          <w:color w:val="101826"/>
          <w:sz w:val="21"/>
        </w:rPr>
        <w:t>src/charts.py génère 4 visuels (comparaison netback, historique des prix, heatmap de sensibilité recalculée indépendamment en Python, dashboard GIE). run_pipeline.py enchâine tout le pipeline en une seule commande. outputs/note.md synthétise hypothèses, résultat chiffré, limites et pistes d'amélioration sur une page.</w:t>
      </w:r>
    </w:p>
    <w:p>
      <w:pPr>
        <w:pStyle w:val="Heading2"/>
        <w:spacing w:before="280" w:after="80"/>
      </w:pPr>
      <w:r>
        <w:rPr>
          <w:rFonts w:ascii="Calibri" w:hAnsi="Calibri"/>
          <w:b/>
          <w:color w:val="C55A11"/>
          <w:sz w:val="25"/>
        </w:rPr>
        <w:t>2.9 — Le tableau de bord interactif (post-Jalon 8)</w:t>
      </w:r>
    </w:p>
    <w:p>
      <w:pPr>
        <w:spacing w:after="120"/>
      </w:pPr>
      <w:r>
        <w:rPr>
          <w:i w:val="0"/>
          <w:color w:val="101826"/>
          <w:sz w:val="21"/>
        </w:rPr>
        <w:t>Une page HTML autonome (outputs/dashboard.html), publiée comme page web privée, reprend les résultats du snapshot dans une mise en page de type BI : recommandation, construction du netback en cascade (waterfall), historique des prix, heatmap de sensibilité avec point mobile. Les curseurs JKM et taux de fret réimplémentent en JavaScript les mêmes formules que netback.py et routing.py, pour un recalcul instantané. C'est un instantané figé, pensé pour être partagé (LinkedIn, entretien) — pas un composant branché sur le pipeline.</w:t>
      </w:r>
    </w:p>
    <w:p>
      <w:r>
        <w:br w:type="page"/>
      </w:r>
    </w:p>
    <w:p>
      <w:pPr>
        <w:pStyle w:val="Heading1"/>
        <w:spacing w:before="440" w:after="160"/>
      </w:pPr>
      <w:r>
        <w:rPr>
          <w:rFonts w:ascii="Calibri" w:hAnsi="Calibri"/>
          <w:b/>
          <w:color w:val="1F4E78"/>
          <w:sz w:val="32"/>
        </w:rPr>
        <w:t>3. Architecture du repository</w:t>
      </w:r>
    </w:p>
    <w:p>
      <w:pPr>
        <w:spacing w:after="120"/>
      </w:pPr>
      <w:r>
        <w:rPr>
          <w:i w:val="0"/>
          <w:color w:val="101826"/>
          <w:sz w:val="21"/>
        </w:rPr>
        <w:t>github.com/Lucadsplt/Projet-LNG-Arbitrage</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E3ECF5"/>
          </w:tcPr>
          <w:p>
            <w:r>
              <w:rPr>
                <w:b/>
                <w:color w:val="1F4E78"/>
                <w:sz w:val="19"/>
              </w:rPr>
              <w:t>Dossier / fichier</w:t>
            </w:r>
          </w:p>
        </w:tc>
        <w:tc>
          <w:tcPr>
            <w:tcW w:type="dxa" w:w="5669"/>
            <w:shd w:val="clear" w:color="auto" w:fill="E3ECF5"/>
          </w:tcPr>
          <w:p>
            <w:r>
              <w:rPr>
                <w:b/>
                <w:color w:val="1F4E78"/>
                <w:sz w:val="19"/>
              </w:rPr>
              <w:t>Rôle</w:t>
            </w:r>
          </w:p>
        </w:tc>
      </w:tr>
      <w:tr>
        <w:tc>
          <w:tcPr>
            <w:tcW w:type="dxa" w:w="3685"/>
          </w:tcPr>
          <w:p>
            <w:r>
              <w:rPr>
                <w:color w:val="101826"/>
                <w:sz w:val="19"/>
              </w:rPr>
              <w:t>src/config.py</w:t>
            </w:r>
          </w:p>
        </w:tc>
        <w:tc>
          <w:tcPr>
            <w:tcW w:type="dxa" w:w="5669"/>
          </w:tcPr>
          <w:p>
            <w:r>
              <w:rPr>
                <w:color w:val="101826"/>
                <w:sz w:val="19"/>
              </w:rPr>
              <w:t>Hypothèses métier centralisées (Jalon 1)</w:t>
            </w:r>
          </w:p>
        </w:tc>
      </w:tr>
      <w:tr>
        <w:tc>
          <w:tcPr>
            <w:tcW w:type="dxa" w:w="3685"/>
          </w:tcPr>
          <w:p>
            <w:r>
              <w:rPr>
                <w:color w:val="101826"/>
                <w:sz w:val="19"/>
              </w:rPr>
              <w:t>src/netback.py</w:t>
            </w:r>
          </w:p>
        </w:tc>
        <w:tc>
          <w:tcPr>
            <w:tcW w:type="dxa" w:w="5669"/>
          </w:tcPr>
          <w:p>
            <w:r>
              <w:rPr>
                <w:color w:val="101826"/>
                <w:sz w:val="19"/>
              </w:rPr>
              <w:t>Calcul du netback + comparaison Europe/Asie (Jalon 2)</w:t>
            </w:r>
          </w:p>
        </w:tc>
      </w:tr>
      <w:tr>
        <w:tc>
          <w:tcPr>
            <w:tcW w:type="dxa" w:w="3685"/>
          </w:tcPr>
          <w:p>
            <w:r>
              <w:rPr>
                <w:color w:val="101826"/>
                <w:sz w:val="19"/>
              </w:rPr>
              <w:t>src/routing.py</w:t>
            </w:r>
          </w:p>
        </w:tc>
        <w:tc>
          <w:tcPr>
            <w:tcW w:type="dxa" w:w="5669"/>
          </w:tcPr>
          <w:p>
            <w:r>
              <w:rPr>
                <w:color w:val="101826"/>
                <w:sz w:val="19"/>
              </w:rPr>
              <w:t>Jours de mer, fret, boil-off par route (Jalon 3)</w:t>
            </w:r>
          </w:p>
        </w:tc>
      </w:tr>
      <w:tr>
        <w:tc>
          <w:tcPr>
            <w:tcW w:type="dxa" w:w="3685"/>
          </w:tcPr>
          <w:p>
            <w:r>
              <w:rPr>
                <w:color w:val="101826"/>
                <w:sz w:val="19"/>
              </w:rPr>
              <w:t>src/data_prices.py</w:t>
            </w:r>
          </w:p>
        </w:tc>
        <w:tc>
          <w:tcPr>
            <w:tcW w:type="dxa" w:w="5669"/>
          </w:tcPr>
          <w:p>
            <w:r>
              <w:rPr>
                <w:color w:val="101826"/>
                <w:sz w:val="19"/>
              </w:rPr>
              <w:t>Récupération TTF / Henry Hub / EUR-USD (Jalon 4)</w:t>
            </w:r>
          </w:p>
        </w:tc>
      </w:tr>
      <w:tr>
        <w:tc>
          <w:tcPr>
            <w:tcW w:type="dxa" w:w="3685"/>
          </w:tcPr>
          <w:p>
            <w:r>
              <w:rPr>
                <w:color w:val="101826"/>
                <w:sz w:val="19"/>
              </w:rPr>
              <w:t>src/data_gie.py</w:t>
            </w:r>
          </w:p>
        </w:tc>
        <w:tc>
          <w:tcPr>
            <w:tcW w:type="dxa" w:w="5669"/>
          </w:tcPr>
          <w:p>
            <w:r>
              <w:rPr>
                <w:color w:val="101826"/>
                <w:sz w:val="19"/>
              </w:rPr>
              <w:t>Send-out et stocks GNL européens — GIE ALSI (Jalon 5)</w:t>
            </w:r>
          </w:p>
        </w:tc>
      </w:tr>
      <w:tr>
        <w:tc>
          <w:tcPr>
            <w:tcW w:type="dxa" w:w="3685"/>
          </w:tcPr>
          <w:p>
            <w:r>
              <w:rPr>
                <w:color w:val="101826"/>
                <w:sz w:val="19"/>
              </w:rPr>
              <w:t>src/build_excel_model.py</w:t>
            </w:r>
          </w:p>
        </w:tc>
        <w:tc>
          <w:tcPr>
            <w:tcW w:type="dxa" w:w="5669"/>
          </w:tcPr>
          <w:p>
            <w:r>
              <w:rPr>
                <w:color w:val="101826"/>
                <w:sz w:val="19"/>
              </w:rPr>
              <w:t>Génère excel/modele_arbitrage.xlsx (Jalon 6)</w:t>
            </w:r>
          </w:p>
        </w:tc>
      </w:tr>
      <w:tr>
        <w:tc>
          <w:tcPr>
            <w:tcW w:type="dxa" w:w="3685"/>
          </w:tcPr>
          <w:p>
            <w:r>
              <w:rPr>
                <w:color w:val="101826"/>
                <w:sz w:val="19"/>
              </w:rPr>
              <w:t>src/update_excel.py</w:t>
            </w:r>
          </w:p>
        </w:tc>
        <w:tc>
          <w:tcPr>
            <w:tcW w:type="dxa" w:w="5669"/>
          </w:tcPr>
          <w:p>
            <w:r>
              <w:rPr>
                <w:color w:val="101826"/>
                <w:sz w:val="19"/>
              </w:rPr>
              <w:t>Pont Python → Excel (Jalon 7)</w:t>
            </w:r>
          </w:p>
        </w:tc>
      </w:tr>
      <w:tr>
        <w:tc>
          <w:tcPr>
            <w:tcW w:type="dxa" w:w="3685"/>
          </w:tcPr>
          <w:p>
            <w:r>
              <w:rPr>
                <w:color w:val="101826"/>
                <w:sz w:val="19"/>
              </w:rPr>
              <w:t>src/charts.py</w:t>
            </w:r>
          </w:p>
        </w:tc>
        <w:tc>
          <w:tcPr>
            <w:tcW w:type="dxa" w:w="5669"/>
          </w:tcPr>
          <w:p>
            <w:r>
              <w:rPr>
                <w:color w:val="101826"/>
                <w:sz w:val="19"/>
              </w:rPr>
              <w:t>Génère les 4 graphes de sortie (Jalon 8)</w:t>
            </w:r>
          </w:p>
        </w:tc>
      </w:tr>
      <w:tr>
        <w:tc>
          <w:tcPr>
            <w:tcW w:type="dxa" w:w="3685"/>
          </w:tcPr>
          <w:p>
            <w:r>
              <w:rPr>
                <w:color w:val="101826"/>
                <w:sz w:val="19"/>
              </w:rPr>
              <w:t>run_pipeline.py</w:t>
            </w:r>
          </w:p>
        </w:tc>
        <w:tc>
          <w:tcPr>
            <w:tcW w:type="dxa" w:w="5669"/>
          </w:tcPr>
          <w:p>
            <w:r>
              <w:rPr>
                <w:color w:val="101826"/>
                <w:sz w:val="19"/>
              </w:rPr>
              <w:t>Point d'entrée unique du pipeline (Jalon 8)</w:t>
            </w:r>
          </w:p>
        </w:tc>
      </w:tr>
      <w:tr>
        <w:tc>
          <w:tcPr>
            <w:tcW w:type="dxa" w:w="3685"/>
          </w:tcPr>
          <w:p>
            <w:r>
              <w:rPr>
                <w:color w:val="101826"/>
                <w:sz w:val="19"/>
              </w:rPr>
              <w:t>tests/</w:t>
            </w:r>
          </w:p>
        </w:tc>
        <w:tc>
          <w:tcPr>
            <w:tcW w:type="dxa" w:w="5669"/>
          </w:tcPr>
          <w:p>
            <w:r>
              <w:rPr>
                <w:color w:val="101826"/>
                <w:sz w:val="19"/>
              </w:rPr>
              <w:t>29 tests automatisés, un fichier par module</w:t>
            </w:r>
          </w:p>
        </w:tc>
      </w:tr>
      <w:tr>
        <w:tc>
          <w:tcPr>
            <w:tcW w:type="dxa" w:w="3685"/>
          </w:tcPr>
          <w:p>
            <w:r>
              <w:rPr>
                <w:color w:val="101826"/>
                <w:sz w:val="19"/>
              </w:rPr>
              <w:t>excel/modele_arbitrage.xlsx</w:t>
            </w:r>
          </w:p>
        </w:tc>
        <w:tc>
          <w:tcPr>
            <w:tcW w:type="dxa" w:w="5669"/>
          </w:tcPr>
          <w:p>
            <w:r>
              <w:rPr>
                <w:color w:val="101826"/>
                <w:sz w:val="19"/>
              </w:rPr>
              <w:t>Classeur de décision (Jalon 6)</w:t>
            </w:r>
          </w:p>
        </w:tc>
      </w:tr>
      <w:tr>
        <w:tc>
          <w:tcPr>
            <w:tcW w:type="dxa" w:w="3685"/>
          </w:tcPr>
          <w:p>
            <w:r>
              <w:rPr>
                <w:color w:val="101826"/>
                <w:sz w:val="19"/>
              </w:rPr>
              <w:t>data/prices/</w:t>
            </w:r>
          </w:p>
        </w:tc>
        <w:tc>
          <w:tcPr>
            <w:tcW w:type="dxa" w:w="5669"/>
          </w:tcPr>
          <w:p>
            <w:r>
              <w:rPr>
                <w:color w:val="101826"/>
                <w:sz w:val="19"/>
              </w:rPr>
              <w:t>CSV de prix bruts récupérés (Jalon 4)</w:t>
            </w:r>
          </w:p>
        </w:tc>
      </w:tr>
      <w:tr>
        <w:tc>
          <w:tcPr>
            <w:tcW w:type="dxa" w:w="3685"/>
          </w:tcPr>
          <w:p>
            <w:r>
              <w:rPr>
                <w:color w:val="101826"/>
                <w:sz w:val="19"/>
              </w:rPr>
              <w:t>outputs/charts/</w:t>
            </w:r>
          </w:p>
        </w:tc>
        <w:tc>
          <w:tcPr>
            <w:tcW w:type="dxa" w:w="5669"/>
          </w:tcPr>
          <w:p>
            <w:r>
              <w:rPr>
                <w:color w:val="101826"/>
                <w:sz w:val="19"/>
              </w:rPr>
              <w:t>4 graphiques générés (Jalon 8)</w:t>
            </w:r>
          </w:p>
        </w:tc>
      </w:tr>
      <w:tr>
        <w:tc>
          <w:tcPr>
            <w:tcW w:type="dxa" w:w="3685"/>
          </w:tcPr>
          <w:p>
            <w:r>
              <w:rPr>
                <w:color w:val="101826"/>
                <w:sz w:val="19"/>
              </w:rPr>
              <w:t>outputs/note.md</w:t>
            </w:r>
          </w:p>
        </w:tc>
        <w:tc>
          <w:tcPr>
            <w:tcW w:type="dxa" w:w="5669"/>
          </w:tcPr>
          <w:p>
            <w:r>
              <w:rPr>
                <w:color w:val="101826"/>
                <w:sz w:val="19"/>
              </w:rPr>
              <w:t>Note de synthèse d'une page (Jalon 8)</w:t>
            </w:r>
          </w:p>
        </w:tc>
      </w:tr>
      <w:tr>
        <w:tc>
          <w:tcPr>
            <w:tcW w:type="dxa" w:w="3685"/>
          </w:tcPr>
          <w:p>
            <w:r>
              <w:rPr>
                <w:color w:val="101826"/>
                <w:sz w:val="19"/>
              </w:rPr>
              <w:t>outputs/dashboard.html</w:t>
            </w:r>
          </w:p>
        </w:tc>
        <w:tc>
          <w:tcPr>
            <w:tcW w:type="dxa" w:w="5669"/>
          </w:tcPr>
          <w:p>
            <w:r>
              <w:rPr>
                <w:color w:val="101826"/>
                <w:sz w:val="19"/>
              </w:rPr>
              <w:t>Tableau de bord interactif autonome</w:t>
            </w:r>
          </w:p>
        </w:tc>
      </w:tr>
      <w:tr>
        <w:tc>
          <w:tcPr>
            <w:tcW w:type="dxa" w:w="3685"/>
          </w:tcPr>
          <w:p>
            <w:r>
              <w:rPr>
                <w:color w:val="101826"/>
                <w:sz w:val="19"/>
              </w:rPr>
              <w:t>docs/</w:t>
            </w:r>
          </w:p>
        </w:tc>
        <w:tc>
          <w:tcPr>
            <w:tcW w:type="dxa" w:w="5669"/>
          </w:tcPr>
          <w:p>
            <w:r>
              <w:rPr>
                <w:color w:val="101826"/>
                <w:sz w:val="19"/>
              </w:rPr>
              <w:t>Cahier des charges et documents de contexte</w:t>
            </w:r>
          </w:p>
        </w:tc>
      </w:tr>
      <w:tr>
        <w:tc>
          <w:tcPr>
            <w:tcW w:type="dxa" w:w="3685"/>
          </w:tcPr>
          <w:p>
            <w:r>
              <w:rPr>
                <w:color w:val="101826"/>
                <w:sz w:val="19"/>
              </w:rPr>
              <w:t>requirements.txt / .env.example / .gitignore</w:t>
            </w:r>
          </w:p>
        </w:tc>
        <w:tc>
          <w:tcPr>
            <w:tcW w:type="dxa" w:w="5669"/>
          </w:tcPr>
          <w:p>
            <w:r>
              <w:rPr>
                <w:color w:val="101826"/>
                <w:sz w:val="19"/>
              </w:rPr>
              <w:t>Dépendances et configuration</w:t>
            </w:r>
          </w:p>
        </w:tc>
      </w:tr>
    </w:tbl>
    <w:p>
      <w:pPr>
        <w:spacing w:after="80"/>
      </w:pPr>
    </w:p>
    <w:p>
      <w:pPr>
        <w:pStyle w:val="Heading1"/>
        <w:spacing w:before="440" w:after="160"/>
      </w:pPr>
      <w:r>
        <w:rPr>
          <w:rFonts w:ascii="Calibri" w:hAnsi="Calibri"/>
          <w:b/>
          <w:color w:val="1F4E78"/>
          <w:sz w:val="32"/>
        </w:rPr>
        <w:t>4. Utilisation — installer, lancer, ouvrir chaque fichier</w:t>
      </w:r>
    </w:p>
    <w:p>
      <w:pPr>
        <w:pStyle w:val="Heading2"/>
        <w:spacing w:before="280" w:after="80"/>
      </w:pPr>
      <w:r>
        <w:rPr>
          <w:rFonts w:ascii="Calibri" w:hAnsi="Calibri"/>
          <w:b/>
          <w:color w:val="C55A11"/>
          <w:sz w:val="25"/>
        </w:rPr>
        <w:t>4.1 — Prérequis</w:t>
      </w:r>
    </w:p>
    <w:p>
      <w:pPr>
        <w:pStyle w:val="ListBullet"/>
        <w:spacing w:after="60"/>
      </w:pPr>
      <w:r>
        <w:rPr>
          <w:sz w:val="21"/>
        </w:rPr>
        <w:t>Python 3.11 ou 3.12 (déjà installé sur cette machine)</w:t>
      </w:r>
    </w:p>
    <w:p>
      <w:pPr>
        <w:pStyle w:val="ListBullet"/>
        <w:spacing w:after="60"/>
      </w:pPr>
      <w:r>
        <w:rPr>
          <w:sz w:val="21"/>
        </w:rPr>
        <w:t>Microsoft Excel (pour ouvrir le classeur)</w:t>
      </w:r>
    </w:p>
    <w:p>
      <w:pPr>
        <w:pStyle w:val="ListBullet"/>
        <w:spacing w:after="60"/>
      </w:pPr>
      <w:r>
        <w:rPr>
          <w:sz w:val="21"/>
        </w:rPr>
        <w:t>Un navigateur web (pour le tableau de bord)</w:t>
      </w:r>
    </w:p>
    <w:p>
      <w:pPr>
        <w:pStyle w:val="ListBullet"/>
        <w:spacing w:after="60"/>
      </w:pPr>
      <w:r>
        <w:rPr>
          <w:sz w:val="21"/>
        </w:rPr>
        <w:t>Optionnel : comptes gratuits EIA (eia.gov) et GIE ALSI (alsi.gie.eu) pour les données officielles</w:t>
      </w:r>
    </w:p>
    <w:p>
      <w:pPr>
        <w:pStyle w:val="Heading2"/>
        <w:spacing w:before="280" w:after="80"/>
      </w:pPr>
      <w:r>
        <w:rPr>
          <w:rFonts w:ascii="Calibri" w:hAnsi="Calibri"/>
          <w:b/>
          <w:color w:val="C55A11"/>
          <w:sz w:val="25"/>
        </w:rPr>
        <w:t>4.2 — Installation (une seule fois)</w:t>
      </w:r>
    </w:p>
    <w:p>
      <w:pPr>
        <w:spacing w:after="120"/>
      </w:pPr>
      <w:r>
        <w:rPr>
          <w:i w:val="0"/>
          <w:color w:val="101826"/>
          <w:sz w:val="21"/>
        </w:rPr>
        <w:t>Ouvrir un terminal dans le dossier du projet, puis :</w:t>
      </w:r>
    </w:p>
    <w:p>
      <w:pPr>
        <w:pStyle w:val="ListBullet"/>
        <w:spacing w:after="60"/>
      </w:pPr>
      <w:r>
        <w:rPr>
          <w:sz w:val="21"/>
        </w:rPr>
        <w:t>python -m venv .venv</w:t>
      </w:r>
    </w:p>
    <w:p>
      <w:pPr>
        <w:pStyle w:val="ListBullet"/>
        <w:spacing w:after="60"/>
      </w:pPr>
      <w:r>
        <w:rPr>
          <w:sz w:val="21"/>
        </w:rPr>
        <w:t>Windows : .venv\Scripts\activate  —  puis : pip install -r requirements.txt</w:t>
      </w:r>
    </w:p>
    <w:p>
      <w:pPr>
        <w:pStyle w:val="ListBullet"/>
        <w:spacing w:after="60"/>
      </w:pPr>
      <w:r>
        <w:rPr>
          <w:sz w:val="21"/>
        </w:rPr>
        <w:t>Copier .env.example en .env si tu veux renseigner tes clés API (optionnel)</w:t>
      </w:r>
    </w:p>
    <w:p>
      <w:pPr>
        <w:pStyle w:val="Heading2"/>
        <w:spacing w:before="280" w:after="80"/>
      </w:pPr>
      <w:r>
        <w:rPr>
          <w:rFonts w:ascii="Calibri" w:hAnsi="Calibri"/>
          <w:b/>
          <w:color w:val="C55A11"/>
          <w:sz w:val="25"/>
        </w:rPr>
        <w:t>4.3 — Lancer le pipeline complet</w:t>
      </w:r>
    </w:p>
    <w:p>
      <w:pPr>
        <w:spacing w:after="120"/>
      </w:pPr>
      <w:r>
        <w:rPr>
          <w:i w:val="0"/>
          <w:color w:val="101826"/>
          <w:sz w:val="21"/>
        </w:rPr>
        <w:t>Une seule commande, depuis le dossier du projet (avec l'environnement virtuel activé) :</w:t>
      </w:r>
    </w:p>
    <w:p>
      <w:pPr>
        <w:pStyle w:val="ListBullet"/>
        <w:spacing w:after="60"/>
      </w:pPr>
      <w:r>
        <w:rPr>
          <w:sz w:val="21"/>
        </w:rPr>
        <w:t>python run_pipeline.py</w:t>
      </w:r>
    </w:p>
    <w:p>
      <w:pPr>
        <w:spacing w:after="120"/>
      </w:pPr>
      <w:r>
        <w:rPr>
          <w:i w:val="0"/>
          <w:color w:val="101826"/>
          <w:sz w:val="21"/>
        </w:rPr>
        <w:t>Enchêne : récupération des derniers prix → mise à jour du classeur Excel → régénération des graphes. Fonctionne même sans clé GIE (le graphe GIE devient un visuel « indisponible » explicite plutôt qu'une erreur).</w:t>
      </w:r>
    </w:p>
    <w:p>
      <w:pPr>
        <w:pStyle w:val="Heading2"/>
        <w:spacing w:before="280" w:after="80"/>
      </w:pPr>
      <w:r>
        <w:rPr>
          <w:rFonts w:ascii="Calibri" w:hAnsi="Calibri"/>
          <w:b/>
          <w:color w:val="C55A11"/>
          <w:sz w:val="25"/>
        </w:rPr>
        <w:t>4.4 — Lancer les tests</w:t>
      </w:r>
    </w:p>
    <w:p>
      <w:pPr>
        <w:pStyle w:val="ListBullet"/>
        <w:spacing w:after="60"/>
      </w:pPr>
      <w:r>
        <w:rPr>
          <w:sz w:val="21"/>
        </w:rPr>
        <w:t>python -m pytest -v</w:t>
      </w:r>
    </w:p>
    <w:p>
      <w:pPr>
        <w:spacing w:after="120"/>
      </w:pPr>
      <w:r>
        <w:rPr>
          <w:i w:val="0"/>
          <w:color w:val="101826"/>
          <w:sz w:val="21"/>
        </w:rPr>
        <w:t>Doit afficher 29 tests réussis (« 29 passed »). Un échec signale qu'une source externe (Yahoo Finance, EIA, GIE) a changé de comportement — voir la partie 5.</w:t>
      </w:r>
    </w:p>
    <w:p>
      <w:pPr>
        <w:pStyle w:val="Heading2"/>
        <w:spacing w:before="280" w:after="80"/>
      </w:pPr>
      <w:r>
        <w:rPr>
          <w:rFonts w:ascii="Calibri" w:hAnsi="Calibri"/>
          <w:b/>
          <w:color w:val="C55A11"/>
          <w:sz w:val="25"/>
        </w:rPr>
        <w:t>4.5 — Comment ouvrir chaque type de fichier</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E3ECF5"/>
          </w:tcPr>
          <w:p>
            <w:r>
              <w:rPr>
                <w:b/>
                <w:color w:val="1F4E78"/>
                <w:sz w:val="19"/>
              </w:rPr>
              <w:t>Fichier</w:t>
            </w:r>
          </w:p>
        </w:tc>
        <w:tc>
          <w:tcPr>
            <w:tcW w:type="dxa" w:w="5953"/>
            <w:shd w:val="clear" w:color="auto" w:fill="E3ECF5"/>
          </w:tcPr>
          <w:p>
            <w:r>
              <w:rPr>
                <w:b/>
                <w:color w:val="1F4E78"/>
                <w:sz w:val="19"/>
              </w:rPr>
              <w:t>Comment l'ouvrir</w:t>
            </w:r>
          </w:p>
        </w:tc>
      </w:tr>
      <w:tr>
        <w:tc>
          <w:tcPr>
            <w:tcW w:type="dxa" w:w="3118"/>
          </w:tcPr>
          <w:p>
            <w:r>
              <w:rPr>
                <w:color w:val="101826"/>
                <w:sz w:val="19"/>
              </w:rPr>
              <w:t>README.md, outputs/note.md</w:t>
            </w:r>
          </w:p>
        </w:tc>
        <w:tc>
          <w:tcPr>
            <w:tcW w:type="dxa" w:w="5953"/>
          </w:tcPr>
          <w:p>
            <w:r>
              <w:rPr>
                <w:color w:val="101826"/>
                <w:sz w:val="19"/>
              </w:rPr>
              <w:t>GitHub (rendu automatique) ou VS Code / éditeur de texte</w:t>
            </w:r>
          </w:p>
        </w:tc>
      </w:tr>
      <w:tr>
        <w:tc>
          <w:tcPr>
            <w:tcW w:type="dxa" w:w="3118"/>
          </w:tcPr>
          <w:p>
            <w:r>
              <w:rPr>
                <w:color w:val="101826"/>
                <w:sz w:val="19"/>
              </w:rPr>
              <w:t>src/*.py, tests/*.py</w:t>
            </w:r>
          </w:p>
        </w:tc>
        <w:tc>
          <w:tcPr>
            <w:tcW w:type="dxa" w:w="5953"/>
          </w:tcPr>
          <w:p>
            <w:r>
              <w:rPr>
                <w:color w:val="101826"/>
                <w:sz w:val="19"/>
              </w:rPr>
              <w:t>VS Code ou tout éditeur de texte — se lit comme du texte</w:t>
            </w:r>
          </w:p>
        </w:tc>
      </w:tr>
      <w:tr>
        <w:tc>
          <w:tcPr>
            <w:tcW w:type="dxa" w:w="3118"/>
          </w:tcPr>
          <w:p>
            <w:r>
              <w:rPr>
                <w:color w:val="101826"/>
                <w:sz w:val="19"/>
              </w:rPr>
              <w:t>excel/modele_arbitrage.xlsx</w:t>
            </w:r>
          </w:p>
        </w:tc>
        <w:tc>
          <w:tcPr>
            <w:tcW w:type="dxa" w:w="5953"/>
          </w:tcPr>
          <w:p>
            <w:r>
              <w:rPr>
                <w:color w:val="101826"/>
                <w:sz w:val="19"/>
              </w:rPr>
              <w:t>Double-clic — s'ouvre dans Microsoft Excel</w:t>
            </w:r>
          </w:p>
        </w:tc>
      </w:tr>
      <w:tr>
        <w:tc>
          <w:tcPr>
            <w:tcW w:type="dxa" w:w="3118"/>
          </w:tcPr>
          <w:p>
            <w:r>
              <w:rPr>
                <w:color w:val="101826"/>
                <w:sz w:val="19"/>
              </w:rPr>
              <w:t>data/prices/*.csv</w:t>
            </w:r>
          </w:p>
        </w:tc>
        <w:tc>
          <w:tcPr>
            <w:tcW w:type="dxa" w:w="5953"/>
          </w:tcPr>
          <w:p>
            <w:r>
              <w:rPr>
                <w:color w:val="101826"/>
                <w:sz w:val="19"/>
              </w:rPr>
              <w:t>Excel, ou un éditeur de texte pour voir les valeurs brutes</w:t>
            </w:r>
          </w:p>
        </w:tc>
      </w:tr>
      <w:tr>
        <w:tc>
          <w:tcPr>
            <w:tcW w:type="dxa" w:w="3118"/>
          </w:tcPr>
          <w:p>
            <w:r>
              <w:rPr>
                <w:color w:val="101826"/>
                <w:sz w:val="19"/>
              </w:rPr>
              <w:t>outputs/charts/*.png</w:t>
            </w:r>
          </w:p>
        </w:tc>
        <w:tc>
          <w:tcPr>
            <w:tcW w:type="dxa" w:w="5953"/>
          </w:tcPr>
          <w:p>
            <w:r>
              <w:rPr>
                <w:color w:val="101826"/>
                <w:sz w:val="19"/>
              </w:rPr>
              <w:t>Double-clic — s'ouvre dans la visionneuse d'images Windows</w:t>
            </w:r>
          </w:p>
        </w:tc>
      </w:tr>
      <w:tr>
        <w:tc>
          <w:tcPr>
            <w:tcW w:type="dxa" w:w="3118"/>
          </w:tcPr>
          <w:p>
            <w:r>
              <w:rPr>
                <w:color w:val="101826"/>
                <w:sz w:val="19"/>
              </w:rPr>
              <w:t>outputs/dashboard.html</w:t>
            </w:r>
          </w:p>
        </w:tc>
        <w:tc>
          <w:tcPr>
            <w:tcW w:type="dxa" w:w="5953"/>
          </w:tcPr>
          <w:p>
            <w:r>
              <w:rPr>
                <w:color w:val="101826"/>
                <w:sz w:val="19"/>
              </w:rPr>
              <w:t>Double-clic — s'ouvre dans le navigateur par défaut</w:t>
            </w:r>
          </w:p>
        </w:tc>
      </w:tr>
      <w:tr>
        <w:tc>
          <w:tcPr>
            <w:tcW w:type="dxa" w:w="3118"/>
          </w:tcPr>
          <w:p>
            <w:r>
              <w:rPr>
                <w:color w:val="101826"/>
                <w:sz w:val="19"/>
              </w:rPr>
              <w:t>docs/*.docx (dont ce fichier)</w:t>
            </w:r>
          </w:p>
        </w:tc>
        <w:tc>
          <w:tcPr>
            <w:tcW w:type="dxa" w:w="5953"/>
          </w:tcPr>
          <w:p>
            <w:r>
              <w:rPr>
                <w:color w:val="101826"/>
                <w:sz w:val="19"/>
              </w:rPr>
              <w:t>Microsoft Word</w:t>
            </w:r>
          </w:p>
        </w:tc>
      </w:tr>
      <w:tr>
        <w:tc>
          <w:tcPr>
            <w:tcW w:type="dxa" w:w="3118"/>
          </w:tcPr>
          <w:p>
            <w:r>
              <w:rPr>
                <w:color w:val="101826"/>
                <w:sz w:val="19"/>
              </w:rPr>
              <w:t>.env.example</w:t>
            </w:r>
          </w:p>
        </w:tc>
        <w:tc>
          <w:tcPr>
            <w:tcW w:type="dxa" w:w="5953"/>
          </w:tcPr>
          <w:p>
            <w:r>
              <w:rPr>
                <w:color w:val="101826"/>
                <w:sz w:val="19"/>
              </w:rPr>
              <w:t>Éditeur de texte — sert de modèle pour créer ton propre .env</w:t>
            </w:r>
          </w:p>
        </w:tc>
      </w:tr>
    </w:tbl>
    <w:p>
      <w:pPr>
        <w:spacing w:after="80"/>
      </w:pPr>
    </w:p>
    <w:p>
      <w:pPr>
        <w:pStyle w:val="Heading2"/>
        <w:spacing w:before="280" w:after="80"/>
      </w:pPr>
      <w:r>
        <w:rPr>
          <w:rFonts w:ascii="Calibri" w:hAnsi="Calibri"/>
          <w:b/>
          <w:color w:val="C55A11"/>
          <w:sz w:val="25"/>
        </w:rPr>
        <w:t>4.6 — Utiliser le tableau de bord interactif</w:t>
      </w:r>
    </w:p>
    <w:p>
      <w:pPr>
        <w:spacing w:after="120"/>
      </w:pPr>
      <w:r>
        <w:rPr>
          <w:i w:val="0"/>
          <w:color w:val="101826"/>
          <w:sz w:val="21"/>
        </w:rPr>
        <w:t>Ouvrir le lien privé (voir Annexe) ou double-cliquer sur outputs/dashboard.html. Déplace les curseurs JKM et taux d'affrètement pour tester un scénario : la recommandation, le waterfall et le point sur la heatmap se recalculent instantanément. Bouton « réinitialiser » pour revenir aux valeurs par défaut.</w:t>
      </w:r>
    </w:p>
    <w:p>
      <w:pPr>
        <w:pStyle w:val="Heading2"/>
        <w:spacing w:before="280" w:after="80"/>
      </w:pPr>
      <w:r>
        <w:rPr>
          <w:rFonts w:ascii="Calibri" w:hAnsi="Calibri"/>
          <w:b/>
          <w:color w:val="C55A11"/>
          <w:sz w:val="25"/>
        </w:rPr>
        <w:t>4.7 — Mettre à jour les hypothèses fragiles (JKM, taux de fret)</w:t>
      </w:r>
    </w:p>
    <w:p>
      <w:pPr>
        <w:spacing w:after="120"/>
      </w:pPr>
      <w:r>
        <w:rPr>
          <w:i w:val="0"/>
          <w:color w:val="101826"/>
          <w:sz w:val="21"/>
        </w:rPr>
        <w:t>Ces deux valeurs n'ont pas de source gratuite — à mettre à jour à la main, en te calant sur une actualité récente (Platts, Reuters énergétique, presse spécialisée) :</w:t>
      </w:r>
    </w:p>
    <w:p>
      <w:pPr>
        <w:pStyle w:val="ListBullet"/>
        <w:spacing w:after="60"/>
      </w:pPr>
      <w:r>
        <w:rPr>
          <w:sz w:val="21"/>
        </w:rPr>
        <w:t>Dans Excel : feuille Hypotheses, cellules B20 (JKM) et B21 (taux de fret) — cellules jaunes</w:t>
      </w:r>
    </w:p>
    <w:p>
      <w:pPr>
        <w:pStyle w:val="ListBullet"/>
        <w:spacing w:after="60"/>
      </w:pPr>
      <w:r>
        <w:rPr>
          <w:sz w:val="21"/>
        </w:rPr>
        <w:t>Dans le tableau de bord : directement via les curseurs</w:t>
      </w:r>
    </w:p>
    <w:p>
      <w:pPr>
        <w:pStyle w:val="ListBullet"/>
        <w:spacing w:after="60"/>
      </w:pPr>
      <w:r>
        <w:rPr>
          <w:sz w:val="21"/>
        </w:rPr>
        <w:t>Dans le code : config.JKM_USD_MMBTU_DEFAUT et config.TAUX_AFFRETEMENT_USD_JOUR_DEFAUT (src/config.py)</w:t>
      </w:r>
    </w:p>
    <w:p>
      <w:r>
        <w:br w:type="page"/>
      </w:r>
    </w:p>
    <w:p>
      <w:pPr>
        <w:pStyle w:val="Heading1"/>
        <w:spacing w:before="440" w:after="160"/>
      </w:pPr>
      <w:r>
        <w:rPr>
          <w:rFonts w:ascii="Calibri" w:hAnsi="Calibri"/>
          <w:b/>
          <w:color w:val="1F4E78"/>
          <w:sz w:val="32"/>
        </w:rPr>
        <w:t>5. Sujets d'obsolescence</w:t>
      </w:r>
    </w:p>
    <w:p>
      <w:pPr>
        <w:spacing w:after="120"/>
      </w:pPr>
      <w:r>
        <w:rPr>
          <w:i w:val="0"/>
          <w:color w:val="101826"/>
          <w:sz w:val="21"/>
        </w:rPr>
        <w:t>Un modèle comme celui-ci ne se périme pas d'un bloc — chaque hypothèse ou dépendance a son propre horizon de fraîcheur. Les connaître, c'est ce qui distingue un modèle présenté avec sérieux d'un modèle présenté avec naïveté.</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041"/>
            <w:shd w:val="clear" w:color="auto" w:fill="E3ECF5"/>
          </w:tcPr>
          <w:p>
            <w:r>
              <w:rPr>
                <w:b/>
                <w:color w:val="1F4E78"/>
                <w:sz w:val="19"/>
              </w:rPr>
              <w:t>Sujet</w:t>
            </w:r>
          </w:p>
        </w:tc>
        <w:tc>
          <w:tcPr>
            <w:tcW w:type="dxa" w:w="1361"/>
            <w:shd w:val="clear" w:color="auto" w:fill="E3ECF5"/>
          </w:tcPr>
          <w:p>
            <w:r>
              <w:rPr>
                <w:b/>
                <w:color w:val="1F4E78"/>
                <w:sz w:val="19"/>
              </w:rPr>
              <w:t>Horizon</w:t>
            </w:r>
          </w:p>
        </w:tc>
        <w:tc>
          <w:tcPr>
            <w:tcW w:type="dxa" w:w="2835"/>
            <w:shd w:val="clear" w:color="auto" w:fill="E3ECF5"/>
          </w:tcPr>
          <w:p>
            <w:r>
              <w:rPr>
                <w:b/>
                <w:color w:val="1F4E78"/>
                <w:sz w:val="19"/>
              </w:rPr>
              <w:t>Pourquoi</w:t>
            </w:r>
          </w:p>
        </w:tc>
        <w:tc>
          <w:tcPr>
            <w:tcW w:type="dxa" w:w="2835"/>
            <w:shd w:val="clear" w:color="auto" w:fill="E3ECF5"/>
          </w:tcPr>
          <w:p>
            <w:r>
              <w:rPr>
                <w:b/>
                <w:color w:val="1F4E78"/>
                <w:sz w:val="19"/>
              </w:rPr>
              <w:t>Parade</w:t>
            </w:r>
          </w:p>
        </w:tc>
      </w:tr>
      <w:tr>
        <w:tc>
          <w:tcPr>
            <w:tcW w:type="dxa" w:w="2041"/>
          </w:tcPr>
          <w:p>
            <w:r>
              <w:rPr>
                <w:color w:val="101826"/>
                <w:sz w:val="19"/>
              </w:rPr>
              <w:t>JKM et taux de fret</w:t>
            </w:r>
          </w:p>
        </w:tc>
        <w:tc>
          <w:tcPr>
            <w:tcW w:type="dxa" w:w="1361"/>
          </w:tcPr>
          <w:p>
            <w:r>
              <w:rPr>
                <w:color w:val="101826"/>
                <w:sz w:val="19"/>
              </w:rPr>
              <w:t>Jours à semaines</w:t>
            </w:r>
          </w:p>
        </w:tc>
        <w:tc>
          <w:tcPr>
            <w:tcW w:type="dxa" w:w="2835"/>
          </w:tcPr>
          <w:p>
            <w:r>
              <w:rPr>
                <w:color w:val="101826"/>
                <w:sz w:val="19"/>
              </w:rPr>
              <w:t>Hypothèses manuelles, sans source gratuite. Le run du 15/09/2026 a montré un décalage majeur avec un TTF ayant fortement monté.</w:t>
            </w:r>
          </w:p>
        </w:tc>
        <w:tc>
          <w:tcPr>
            <w:tcW w:type="dxa" w:w="2835"/>
          </w:tcPr>
          <w:p>
            <w:r>
              <w:rPr>
                <w:color w:val="101826"/>
                <w:sz w:val="19"/>
              </w:rPr>
              <w:t>Les remettre à jour à la main avant toute présentation, en les comparant à l'actualité.</w:t>
            </w:r>
          </w:p>
        </w:tc>
      </w:tr>
      <w:tr>
        <w:tc>
          <w:tcPr>
            <w:tcW w:type="dxa" w:w="2041"/>
          </w:tcPr>
          <w:p>
            <w:r>
              <w:rPr>
                <w:color w:val="101826"/>
                <w:sz w:val="19"/>
              </w:rPr>
              <w:t>Tickers Yahoo Finance (TTF=F, NG=F, EURUSD=X)</w:t>
            </w:r>
          </w:p>
        </w:tc>
        <w:tc>
          <w:tcPr>
            <w:tcW w:type="dxa" w:w="1361"/>
          </w:tcPr>
          <w:p>
            <w:r>
              <w:rPr>
                <w:color w:val="101826"/>
                <w:sz w:val="19"/>
              </w:rPr>
              <w:t>Mois à années</w:t>
            </w:r>
          </w:p>
        </w:tc>
        <w:tc>
          <w:tcPr>
            <w:tcW w:type="dxa" w:w="2835"/>
          </w:tcPr>
          <w:p>
            <w:r>
              <w:rPr>
                <w:color w:val="101826"/>
                <w:sz w:val="19"/>
              </w:rPr>
              <w:t>yfinance s'appuie sur une interface non documentuée officiellement par Yahoo ; un ticker peut être renommé ou retiré sans préavis.</w:t>
            </w:r>
          </w:p>
        </w:tc>
        <w:tc>
          <w:tcPr>
            <w:tcW w:type="dxa" w:w="2835"/>
          </w:tcPr>
          <w:p>
            <w:r>
              <w:rPr>
                <w:color w:val="101826"/>
                <w:sz w:val="19"/>
              </w:rPr>
              <w:t>Lancer périodiquement run_pipeline.py pour détecter une rupture tôt ; l'API EIA officielle est déjà le repli prioritaire pour Henry Hub.</w:t>
            </w:r>
          </w:p>
        </w:tc>
      </w:tr>
      <w:tr>
        <w:tc>
          <w:tcPr>
            <w:tcW w:type="dxa" w:w="2041"/>
          </w:tcPr>
          <w:p>
            <w:r>
              <w:rPr>
                <w:color w:val="101826"/>
                <w:sz w:val="19"/>
              </w:rPr>
              <w:t>Hypothèses structurelles (tolling fee, péage Panama, jours de route)</w:t>
            </w:r>
          </w:p>
        </w:tc>
        <w:tc>
          <w:tcPr>
            <w:tcW w:type="dxa" w:w="1361"/>
          </w:tcPr>
          <w:p>
            <w:r>
              <w:rPr>
                <w:color w:val="101826"/>
                <w:sz w:val="19"/>
              </w:rPr>
              <w:t>1 à 3 ans</w:t>
            </w:r>
          </w:p>
        </w:tc>
        <w:tc>
          <w:tcPr>
            <w:tcW w:type="dxa" w:w="2835"/>
          </w:tcPr>
          <w:p>
            <w:r>
              <w:rPr>
                <w:color w:val="101826"/>
                <w:sz w:val="19"/>
              </w:rPr>
              <w:t>Contrats renegociés, tarifs du canal révisés, flotte plus rapide.</w:t>
            </w:r>
          </w:p>
        </w:tc>
        <w:tc>
          <w:tcPr>
            <w:tcW w:type="dxa" w:w="2835"/>
          </w:tcPr>
          <w:p>
            <w:r>
              <w:rPr>
                <w:color w:val="101826"/>
                <w:sz w:val="19"/>
              </w:rPr>
              <w:t>Revoir config.py une fois par an ou à chaque actualité sectorielle notable.</w:t>
            </w:r>
          </w:p>
        </w:tc>
      </w:tr>
      <w:tr>
        <w:tc>
          <w:tcPr>
            <w:tcW w:type="dxa" w:w="2041"/>
          </w:tcPr>
          <w:p>
            <w:r>
              <w:rPr>
                <w:color w:val="101826"/>
                <w:sz w:val="19"/>
              </w:rPr>
              <w:t>APIs GIE ALSI et EIA</w:t>
            </w:r>
          </w:p>
        </w:tc>
        <w:tc>
          <w:tcPr>
            <w:tcW w:type="dxa" w:w="1361"/>
          </w:tcPr>
          <w:p>
            <w:r>
              <w:rPr>
                <w:color w:val="101826"/>
                <w:sz w:val="19"/>
              </w:rPr>
              <w:t>Années (rupture possible)</w:t>
            </w:r>
          </w:p>
        </w:tc>
        <w:tc>
          <w:tcPr>
            <w:tcW w:type="dxa" w:w="2835"/>
          </w:tcPr>
          <w:p>
            <w:r>
              <w:rPr>
                <w:color w:val="101826"/>
                <w:sz w:val="19"/>
              </w:rPr>
              <w:t>Ces plateformes ont déjà changé de version par le passé (GIE : v1→v2 en 2022).</w:t>
            </w:r>
          </w:p>
        </w:tc>
        <w:tc>
          <w:tcPr>
            <w:tcW w:type="dxa" w:w="2835"/>
          </w:tcPr>
          <w:p>
            <w:r>
              <w:rPr>
                <w:color w:val="101826"/>
                <w:sz w:val="19"/>
              </w:rPr>
              <w:t>La dépendance est isolée dans un seul fichier par source (data_gie.py, data_prices.py) — facile à corriger sans toucher au reste.</w:t>
            </w:r>
          </w:p>
        </w:tc>
      </w:tr>
      <w:tr>
        <w:tc>
          <w:tcPr>
            <w:tcW w:type="dxa" w:w="2041"/>
          </w:tcPr>
          <w:p>
            <w:r>
              <w:rPr>
                <w:color w:val="101826"/>
                <w:sz w:val="19"/>
              </w:rPr>
              <w:t>Versions des librairies (requirements.txt)</w:t>
            </w:r>
          </w:p>
        </w:tc>
        <w:tc>
          <w:tcPr>
            <w:tcW w:type="dxa" w:w="1361"/>
          </w:tcPr>
          <w:p>
            <w:r>
              <w:rPr>
                <w:color w:val="101826"/>
                <w:sz w:val="19"/>
              </w:rPr>
              <w:t>Variable</w:t>
            </w:r>
          </w:p>
        </w:tc>
        <w:tc>
          <w:tcPr>
            <w:tcW w:type="dxa" w:w="2835"/>
          </w:tcPr>
          <w:p>
            <w:r>
              <w:rPr>
                <w:color w:val="101826"/>
                <w:sz w:val="19"/>
              </w:rPr>
              <w:t>Les bornes sont « &gt;= », pas figées : une réinstallation dans un an peut récupérer une version aux API changées (pandas, openpyxl, yfinance).</w:t>
            </w:r>
          </w:p>
        </w:tc>
        <w:tc>
          <w:tcPr>
            <w:tcW w:type="dxa" w:w="2835"/>
          </w:tcPr>
          <w:p>
            <w:r>
              <w:rPr>
                <w:color w:val="101826"/>
                <w:sz w:val="19"/>
              </w:rPr>
              <w:t>Figer les versions exactes (pip freeze) avant une démonstration importante.</w:t>
            </w:r>
          </w:p>
        </w:tc>
      </w:tr>
      <w:tr>
        <w:tc>
          <w:tcPr>
            <w:tcW w:type="dxa" w:w="2041"/>
          </w:tcPr>
          <w:p>
            <w:r>
              <w:rPr>
                <w:color w:val="101826"/>
                <w:sz w:val="19"/>
              </w:rPr>
              <w:t>Tableau de bord HTML (snapshot)</w:t>
            </w:r>
          </w:p>
        </w:tc>
        <w:tc>
          <w:tcPr>
            <w:tcW w:type="dxa" w:w="1361"/>
          </w:tcPr>
          <w:p>
            <w:r>
              <w:rPr>
                <w:color w:val="101826"/>
                <w:sz w:val="19"/>
              </w:rPr>
              <w:t>Immédiat</w:t>
            </w:r>
          </w:p>
        </w:tc>
        <w:tc>
          <w:tcPr>
            <w:tcW w:type="dxa" w:w="2835"/>
          </w:tcPr>
          <w:p>
            <w:r>
              <w:rPr>
                <w:color w:val="101826"/>
                <w:sz w:val="19"/>
              </w:rPr>
              <w:t>Fige les chiffres du jour de génération — ne se met jamais à jour tout seul.</w:t>
            </w:r>
          </w:p>
        </w:tc>
        <w:tc>
          <w:tcPr>
            <w:tcW w:type="dxa" w:w="2835"/>
          </w:tcPr>
          <w:p>
            <w:r>
              <w:rPr>
                <w:color w:val="101826"/>
                <w:sz w:val="19"/>
              </w:rPr>
              <w:t>Le régénérer manuellement avant de le repartager.</w:t>
            </w:r>
          </w:p>
        </w:tc>
      </w:tr>
      <w:tr>
        <w:tc>
          <w:tcPr>
            <w:tcW w:type="dxa" w:w="2041"/>
          </w:tcPr>
          <w:p>
            <w:r>
              <w:rPr>
                <w:color w:val="101826"/>
                <w:sz w:val="19"/>
              </w:rPr>
              <w:t>Ce document et le contexte projet</w:t>
            </w:r>
          </w:p>
        </w:tc>
        <w:tc>
          <w:tcPr>
            <w:tcW w:type="dxa" w:w="1361"/>
          </w:tcPr>
          <w:p>
            <w:r>
              <w:rPr>
                <w:color w:val="101826"/>
                <w:sz w:val="19"/>
              </w:rPr>
              <w:t>Continu</w:t>
            </w:r>
          </w:p>
        </w:tc>
        <w:tc>
          <w:tcPr>
            <w:tcW w:type="dxa" w:w="2835"/>
          </w:tcPr>
          <w:p>
            <w:r>
              <w:rPr>
                <w:color w:val="101826"/>
                <w:sz w:val="19"/>
              </w:rPr>
              <w:t>Décrit l'état du projet à une date donnée (Jalons 1à 8 + tableau de bord).</w:t>
            </w:r>
          </w:p>
        </w:tc>
        <w:tc>
          <w:tcPr>
            <w:tcW w:type="dxa" w:w="2835"/>
          </w:tcPr>
          <w:p>
            <w:r>
              <w:rPr>
                <w:color w:val="101826"/>
                <w:sz w:val="19"/>
              </w:rPr>
              <w:t>Le mettre à jour si le Jalon 9 (backtest) ou d'autres évolutions sont ajoutés.</w:t>
            </w:r>
          </w:p>
        </w:tc>
      </w:tr>
    </w:tbl>
    <w:p>
      <w:pPr>
        <w:spacing w:after="80"/>
      </w:pPr>
    </w:p>
    <w:p>
      <w:pPr>
        <w:pStyle w:val="Heading1"/>
        <w:spacing w:before="440" w:after="160"/>
      </w:pPr>
      <w:r>
        <w:rPr>
          <w:rFonts w:ascii="Calibri" w:hAnsi="Calibri"/>
          <w:b/>
          <w:color w:val="1F4E78"/>
          <w:sz w:val="32"/>
        </w:rPr>
        <w:t>6. Pour aller plus loin</w:t>
      </w:r>
    </w:p>
    <w:p>
      <w:pPr>
        <w:spacing w:after="120"/>
      </w:pPr>
      <w:r>
        <w:rPr>
          <w:i w:val="0"/>
          <w:color w:val="101826"/>
          <w:sz w:val="21"/>
        </w:rPr>
        <w:t>Le guide de construction prévoit un Jalon 9, optionnel : un backtest chiffré sur 2022-2025 (spread TTF/JKM + fret), pour mesurer combien de fois l'Asie l'aurait emporté sur l'Europe, et ce qu'une stratégie « toujours Europe » aurait laissé sur la table. C'est le différenciateur recommandé par le guide initial — un seul, mais bien fini.</w:t>
      </w:r>
    </w:p>
    <w:p>
      <w:r>
        <w:br w:type="page"/>
      </w:r>
    </w:p>
    <w:p>
      <w:pPr>
        <w:pStyle w:val="Heading1"/>
        <w:spacing w:before="440" w:after="160"/>
      </w:pPr>
      <w:r>
        <w:rPr>
          <w:rFonts w:ascii="Calibri" w:hAnsi="Calibri"/>
          <w:b/>
          <w:color w:val="1F4E78"/>
          <w:sz w:val="32"/>
        </w:rPr>
        <w:t>Annexe — liens utiles</w:t>
      </w:r>
    </w:p>
    <w:tbl>
      <w:tblPr>
        <w:tblW w:type="auto" w:w="0"/>
        <w:jc w:val="center"/>
        <w:tblLayout w:type="fixed"/>
        <w:tblLook w:firstColumn="1" w:firstRow="1" w:lastColumn="0" w:lastRow="0" w:noHBand="0" w:noVBand="1" w:val="04A0"/>
      </w:tblPr>
      <w:tblGrid>
        <w:gridCol w:w="4873"/>
        <w:gridCol w:w="4873"/>
      </w:tblGrid>
      <w:tr>
        <w:tc>
          <w:tcPr>
            <w:tcW w:type="dxa" w:w="3402"/>
            <w:shd w:val="clear" w:color="auto" w:fill="E3ECF5"/>
          </w:tcPr>
          <w:p>
            <w:r>
              <w:rPr>
                <w:b/>
                <w:color w:val="1F4E78"/>
                <w:sz w:val="19"/>
              </w:rPr>
              <w:t>Ressource</w:t>
            </w:r>
          </w:p>
        </w:tc>
        <w:tc>
          <w:tcPr>
            <w:tcW w:type="dxa" w:w="5669"/>
            <w:shd w:val="clear" w:color="auto" w:fill="E3ECF5"/>
          </w:tcPr>
          <w:p>
            <w:r>
              <w:rPr>
                <w:b/>
                <w:color w:val="1F4E78"/>
                <w:sz w:val="19"/>
              </w:rPr>
              <w:t>Lien</w:t>
            </w:r>
          </w:p>
        </w:tc>
      </w:tr>
      <w:tr>
        <w:tc>
          <w:tcPr>
            <w:tcW w:type="dxa" w:w="3402"/>
          </w:tcPr>
          <w:p>
            <w:r>
              <w:rPr>
                <w:color w:val="101826"/>
                <w:sz w:val="19"/>
              </w:rPr>
              <w:t>Code source complet</w:t>
            </w:r>
          </w:p>
        </w:tc>
        <w:tc>
          <w:tcPr>
            <w:tcW w:type="dxa" w:w="5669"/>
          </w:tcPr>
          <w:p>
            <w:r>
              <w:rPr>
                <w:color w:val="101826"/>
                <w:sz w:val="19"/>
              </w:rPr>
              <w:t>github.com/Lucadsplt/Projet-LNG-Arbitrage</w:t>
            </w:r>
          </w:p>
        </w:tc>
      </w:tr>
      <w:tr>
        <w:tc>
          <w:tcPr>
            <w:tcW w:type="dxa" w:w="3402"/>
          </w:tcPr>
          <w:p>
            <w:r>
              <w:rPr>
                <w:color w:val="101826"/>
                <w:sz w:val="19"/>
              </w:rPr>
              <w:t>Page d'accueil du projet</w:t>
            </w:r>
          </w:p>
        </w:tc>
        <w:tc>
          <w:tcPr>
            <w:tcW w:type="dxa" w:w="5669"/>
          </w:tcPr>
          <w:p>
            <w:r>
              <w:rPr>
                <w:color w:val="101826"/>
                <w:sz w:val="19"/>
              </w:rPr>
              <w:t>claude.ai/artifact/6QR8Fge3uYGCfVjTjCEU2E</w:t>
            </w:r>
          </w:p>
        </w:tc>
      </w:tr>
      <w:tr>
        <w:tc>
          <w:tcPr>
            <w:tcW w:type="dxa" w:w="3402"/>
          </w:tcPr>
          <w:p>
            <w:r>
              <w:rPr>
                <w:color w:val="101826"/>
                <w:sz w:val="19"/>
              </w:rPr>
              <w:t>Tableau de bord interactif</w:t>
            </w:r>
          </w:p>
        </w:tc>
        <w:tc>
          <w:tcPr>
            <w:tcW w:type="dxa" w:w="5669"/>
          </w:tcPr>
          <w:p>
            <w:r>
              <w:rPr>
                <w:color w:val="101826"/>
                <w:sz w:val="19"/>
              </w:rPr>
              <w:t>claude.ai/artifact/F2quvnBaC3swc38JSFD5qx</w:t>
            </w:r>
          </w:p>
        </w:tc>
      </w:tr>
      <w:tr>
        <w:tc>
          <w:tcPr>
            <w:tcW w:type="dxa" w:w="3402"/>
          </w:tcPr>
          <w:p>
            <w:r>
              <w:rPr>
                <w:color w:val="101826"/>
                <w:sz w:val="19"/>
              </w:rPr>
              <w:t>Note de synthèse (1 page)</w:t>
            </w:r>
          </w:p>
        </w:tc>
        <w:tc>
          <w:tcPr>
            <w:tcW w:type="dxa" w:w="5669"/>
          </w:tcPr>
          <w:p>
            <w:r>
              <w:rPr>
                <w:color w:val="101826"/>
                <w:sz w:val="19"/>
              </w:rPr>
              <w:t>outputs/note.md, sur GitHub</w:t>
            </w:r>
          </w:p>
        </w:tc>
      </w:tr>
      <w:tr>
        <w:tc>
          <w:tcPr>
            <w:tcW w:type="dxa" w:w="3402"/>
          </w:tcPr>
          <w:p>
            <w:r>
              <w:rPr>
                <w:color w:val="101826"/>
                <w:sz w:val="19"/>
              </w:rPr>
              <w:t>Inscription API EIA (Henry Hub officiel)</w:t>
            </w:r>
          </w:p>
        </w:tc>
        <w:tc>
          <w:tcPr>
            <w:tcW w:type="dxa" w:w="5669"/>
          </w:tcPr>
          <w:p>
            <w:r>
              <w:rPr>
                <w:color w:val="101826"/>
                <w:sz w:val="19"/>
              </w:rPr>
              <w:t>eia.gov/opendata/register.php</w:t>
            </w:r>
          </w:p>
        </w:tc>
      </w:tr>
      <w:tr>
        <w:tc>
          <w:tcPr>
            <w:tcW w:type="dxa" w:w="3402"/>
          </w:tcPr>
          <w:p>
            <w:r>
              <w:rPr>
                <w:color w:val="101826"/>
                <w:sz w:val="19"/>
              </w:rPr>
              <w:t>Inscription API GIE ALSI</w:t>
            </w:r>
          </w:p>
        </w:tc>
        <w:tc>
          <w:tcPr>
            <w:tcW w:type="dxa" w:w="5669"/>
          </w:tcPr>
          <w:p>
            <w:r>
              <w:rPr>
                <w:color w:val="101826"/>
                <w:sz w:val="19"/>
              </w:rPr>
              <w:t>alsi.gie.eu (menu API)</w:t>
            </w: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018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